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C200B8"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b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sz w:val="21"/>
          <w:szCs w:val="21"/>
        </w:rPr>
        <w:t>非药物镇痛联合护理干预在新生儿疼痛管理中的临床应用</w:t>
      </w:r>
    </w:p>
    <w:p w14:paraId="4EE7FBD7">
      <w:pPr>
        <w:widowControl/>
        <w:spacing w:line="360" w:lineRule="auto"/>
        <w:jc w:val="center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郝艳君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 xml:space="preserve">  </w:t>
      </w:r>
    </w:p>
    <w:p w14:paraId="1F44EBA8"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巩义市人民医院  新生儿重症监护病房  （河南 巩义 451200）</w:t>
      </w:r>
    </w:p>
    <w:p w14:paraId="57B0F756">
      <w:pPr>
        <w:widowControl/>
        <w:spacing w:line="360" w:lineRule="auto"/>
        <w:jc w:val="both"/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  <w:t>【摘要】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目的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探讨非药物镇痛联合护理干预在新生儿疼痛管理中的应用效果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eastAsia="zh-CN"/>
        </w:rPr>
        <w:t>。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方法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选取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本院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2026年1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-3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月需接受侵入性操作的86例新生儿，采用随机数字法分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，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每组43例。观察组在对照组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基础上实施袋鼠式护理联合非营养性吸吮的非药物镇痛干预，对照组行常规护理，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对比两组疼痛评分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（N-PASS）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、生命体征、安抚成功率与不良反应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。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结果：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观察组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操作中、操作后5min的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NPASS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评分、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操作中HR、不良反应总发生率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均低于对照组</w:t>
      </w:r>
      <w:r>
        <w:rPr>
          <w:rFonts w:hint="default" w:ascii="Times New Roman" w:hAnsi="Times New Roman" w:eastAsia="宋体" w:cs="Times New Roman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/>
          <w:iCs w:val="0"/>
          <w:sz w:val="21"/>
          <w:szCs w:val="21"/>
        </w:rPr>
        <w:t>P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</w:rPr>
        <w:t>＜0.0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安抚成功率、操作中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SpO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均高于对照组</w:t>
      </w:r>
      <w:r>
        <w:rPr>
          <w:rFonts w:hint="default" w:ascii="Times New Roman" w:hAnsi="Times New Roman" w:eastAsia="宋体" w:cs="Times New Roman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/>
          <w:iCs w:val="0"/>
          <w:sz w:val="21"/>
          <w:szCs w:val="21"/>
        </w:rPr>
        <w:t>P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</w:rPr>
        <w:t>＜0.0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结论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：非药物镇痛联合护理干预可安全有效缓解新生儿操作性疼痛，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提升安抚效果，安全性高，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值得临床推广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。</w:t>
      </w:r>
    </w:p>
    <w:p w14:paraId="4E43B066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  <w:t>【关键词】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非药物镇痛；联合护理；新生儿疼痛管理</w:t>
      </w:r>
    </w:p>
    <w:p w14:paraId="79A96A3F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新生儿自早孕周具备存活能力后，即能对伤害性刺激产生完整急性应激反应，而住院期间足跟采血、动静脉穿刺等侵入性操作不可避免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[1]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。疼痛刺激可致新生儿出现心率、血氧饱和度异常及持续哭闹等短期反应，长期反复暴露更可能引发神经发育异常及脑功能损伤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[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]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。目前，疼痛已被确立为新生儿第五大生命体征，其管理质量直接关乎患儿预后。国内外指南均强调非药物镇痛优先原则，倡导多模式、分层化干预及家属协同参与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[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]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。然而，当前临床实践中仍存在镇痛策略单一、特殊患儿适配不足及指南执行偏差等问题。本研究通过多中心随机对照试验，系统评估非药物镇痛联合常规护理的差异化效果，以期为新生儿个体化疼痛管理提供循证依据。</w:t>
      </w:r>
    </w:p>
    <w:p w14:paraId="4757E3F3">
      <w:pPr>
        <w:spacing w:line="360" w:lineRule="auto"/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  <w:t>1 资料和方法</w:t>
      </w:r>
    </w:p>
    <w:p w14:paraId="6DD600D4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1.1 资料</w:t>
      </w:r>
    </w:p>
    <w:p w14:paraId="62A0C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在本院选取新生儿科2026年1-3月住院治疗且需接受侵入性操作的新生儿86例作为研究对象，采用随机数字法进行分组，各43例。对照组，男23例，女20例；新生儿32-41周，平均（37.25±1.86）周；早产儿14例，足月儿29例。观察组中，男24例，女19例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新生儿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32~40周，平均（36.98±1.92）周；早产儿16例，足月儿27例。两组新生儿上述资料无明显差异（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＞0.05），具有可比性。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纳入标准：①住院时间≥72h，需接受至少1次致痛性侵入性操作；②无严重先天性畸形、重症感染性疾病及代谢性疾病；③患儿家属知情同意并签署知情同意书。排除标准：①对葡萄糖或母乳过敏；②存在吸吮功能障碍、听觉异常；③对安抚奶嘴过敏；④研究期间中途转院或自愿退出研究。</w:t>
      </w:r>
    </w:p>
    <w:p w14:paraId="23F278FE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1.2 方法</w:t>
      </w:r>
    </w:p>
    <w:p w14:paraId="28959427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对照组采用常规护理干预，具体措施包括：密切监测新生儿生命体征（心率、血氧饱和度等），做好保暖、皮肤护理和基础喂养工作；侵入性操作前做好准备工作，操作中动作轻柔、快速，减少刺激；操作后及时清理新生儿口鼻分泌物，安抚新生儿情绪，观察有无不适反应。</w:t>
      </w:r>
    </w:p>
    <w:p w14:paraId="0B9BEEAD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观察组在常规护理基础上，加用袋鼠式护理联合非营养性吸吮的非药物镇痛干预：①袋鼠式护理：操作前15min，协助产妇取舒适坐姿，靠于靠垫向后仰躺，做好保暖措施后，将仅穿纸尿裤的新生儿垂直放置于产妇胸腹部，进行皮肤对皮肤接触，产妇用手臂托住新生儿臀背部做好支撑，期间可通过轻声说话、眼神交流等方式安抚新生儿，操作全程持续，结束后维持10min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②非营养性吸吮：操作前5min，给予新生儿无菌安抚奶嘴，指导其全程持续吸吮，操作结束后继续维持5min，确保吸吮动作连贯，避免中途中断。两种干预措施均每日开展，每次操作均严格遵循无菌操作原则。</w:t>
      </w:r>
    </w:p>
    <w:p w14:paraId="1AA803E3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1.3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观察指标</w:t>
      </w:r>
    </w:p>
    <w:p w14:paraId="1E6B3D7C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①疼痛评分：采用新生儿疼痛评估量表（N-PASS）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[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]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于侵入性操作前5min、操作中、操作后5min、30min分别评定两组新生儿疼痛程度，量表包含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行为状态、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面部表情和生命体征等5个条目，评分0-11分，评分越高提示疼痛越严重；②安抚成功率：以操作后30min内患儿停止哭闹、生命体征恢复平稳为安抚成功，计算各组安抚成功率；生命体征：记录各组患儿操作前、后的心率（HR）、血氧饱和度（SpO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）；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③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不良反应：记录干预过程中患儿出现的呛咳、呕吐、应激反应等不良反应，计算总不良反应率。</w:t>
      </w:r>
    </w:p>
    <w:p w14:paraId="5CE54BBB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</w:rPr>
        <w:t>1.4 统计学处理</w:t>
      </w:r>
    </w:p>
    <w:p w14:paraId="0DEF5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根据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SPSS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2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.0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软件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统计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计数资料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行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</w:rPr>
        <w:t>χ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  <w:vertAlign w:val="superscript"/>
        </w:rPr>
        <w:t>2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检验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以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（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highlight w:val="none"/>
        </w:rPr>
        <w:t>n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，%）表示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；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计量资料行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1"/>
          <w:szCs w:val="21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检验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，以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（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position w:val="-6"/>
          <w:sz w:val="21"/>
          <w:szCs w:val="21"/>
          <w:highlight w:val="none"/>
        </w:rPr>
        <w:object>
          <v:shape id="_x0000_i1025" o:spt="75" type="#_x0000_t75" style="height:12.45pt;width:26.3pt;" o:ole="t" fillcolor="#000011" filled="f" o:preferrelative="t" stroked="f" coordsize="21600,21600">
            <v:path/>
            <v:fill on="f" focussize="0,0"/>
            <v:stroke on="f"/>
            <v:imagedata r:id="rId10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9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）表示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以α=0.05为检验水准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>。</w:t>
      </w:r>
    </w:p>
    <w:p w14:paraId="1AD5908C">
      <w:pPr>
        <w:spacing w:line="360" w:lineRule="auto"/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  <w:t>2 结果</w:t>
      </w:r>
    </w:p>
    <w:p w14:paraId="4E9C069D">
      <w:pPr>
        <w:spacing w:line="360" w:lineRule="auto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2.1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对比两组新生儿不同时间点NPASS疼痛评分</w:t>
      </w:r>
    </w:p>
    <w:p w14:paraId="39FF09AC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各组操作前5min、操作后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30min无明显差异</w:t>
      </w:r>
      <w:r>
        <w:rPr>
          <w:rFonts w:hint="default" w:ascii="Times New Roman" w:hAnsi="Times New Roman" w:eastAsia="宋体" w:cs="Times New Roman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/>
          <w:iCs w:val="0"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 w:val="0"/>
          <w:iCs/>
          <w:sz w:val="21"/>
          <w:szCs w:val="21"/>
          <w:lang w:val="en-US" w:eastAsia="zh-CN"/>
        </w:rPr>
        <w:t>＞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</w:rPr>
        <w:t>0.05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操作中、操作后5min，观察组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NPASS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评分均低于对照组</w:t>
      </w:r>
      <w:r>
        <w:rPr>
          <w:rFonts w:hint="default" w:ascii="Times New Roman" w:hAnsi="Times New Roman" w:eastAsia="宋体" w:cs="Times New Roman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/>
          <w:iCs w:val="0"/>
          <w:sz w:val="21"/>
          <w:szCs w:val="21"/>
        </w:rPr>
        <w:t>P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</w:rPr>
        <w:t>＜0.05</w:t>
      </w:r>
      <w:r>
        <w:rPr>
          <w:rFonts w:hint="default" w:ascii="Times New Roman" w:hAnsi="Times New Roman" w:eastAsia="宋体" w:cs="Times New Roman"/>
          <w:sz w:val="21"/>
          <w:szCs w:val="21"/>
        </w:rPr>
        <w:t>）。如表1所示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6D76014B">
      <w:pPr>
        <w:spacing w:line="360" w:lineRule="auto"/>
        <w:ind w:firstLine="420" w:firstLineChars="200"/>
        <w:jc w:val="center"/>
        <w:rPr>
          <w:rFonts w:hint="default" w:ascii="Times New Roman" w:hAnsi="Times New Roman" w:eastAsia="宋体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表1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各组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镇痛效果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对比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（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position w:val="-6"/>
          <w:sz w:val="21"/>
          <w:szCs w:val="21"/>
          <w:highlight w:val="none"/>
        </w:rPr>
        <w:object>
          <v:shape id="_x0000_i1056" o:spt="75" type="#_x0000_t75" style="height:12.45pt;width:26.3pt;" o:ole="t" fillcolor="#000011" filled="f" o:preferrelative="t" stroked="f" coordsize="21600,21600">
            <v:path/>
            <v:fill on="f" focussize="0,0"/>
            <v:stroke on="f"/>
            <v:imagedata r:id="rId10" o:title=""/>
            <o:lock v:ext="edit" grouping="f" rotation="f" text="f" aspectratio="t"/>
            <w10:wrap type="none"/>
            <w10:anchorlock/>
          </v:shape>
          <o:OLEObject Type="Embed" ProgID="Equation.3" ShapeID="_x0000_i1056" DrawAspect="Content" ObjectID="_1468075726" r:id="rId11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分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）</w:t>
      </w:r>
    </w:p>
    <w:tbl>
      <w:tblPr>
        <w:tblStyle w:val="8"/>
        <w:tblW w:w="8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753"/>
        <w:gridCol w:w="1706"/>
        <w:gridCol w:w="1715"/>
        <w:gridCol w:w="1720"/>
        <w:gridCol w:w="1720"/>
      </w:tblGrid>
      <w:tr w14:paraId="4596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72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 w14:paraId="2E5376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753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 w14:paraId="49ABDA6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170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3E0566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操作前5min</w:t>
            </w:r>
          </w:p>
        </w:tc>
        <w:tc>
          <w:tcPr>
            <w:tcW w:w="1715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A10F7F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操作中</w:t>
            </w:r>
          </w:p>
        </w:tc>
        <w:tc>
          <w:tcPr>
            <w:tcW w:w="172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360FDC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操作后5min</w:t>
            </w:r>
          </w:p>
        </w:tc>
        <w:tc>
          <w:tcPr>
            <w:tcW w:w="172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4E79DA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操作后30min</w:t>
            </w:r>
          </w:p>
        </w:tc>
      </w:tr>
      <w:tr w14:paraId="6A9B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27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0DED8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观察组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3A67B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70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1A33E9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1.24±0.41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85A681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3.12±0.85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3C5C09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1.89±0.56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97E87B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1.46±0.44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abc</w:t>
            </w:r>
          </w:p>
        </w:tc>
      </w:tr>
      <w:tr w14:paraId="3A5E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DC15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对照组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1C732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A299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1.28±0.39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78AC5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5.85±1.02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04ECB4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4.06±0.78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ab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E5E640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1.68±0.65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abc</w:t>
            </w:r>
          </w:p>
        </w:tc>
      </w:tr>
      <w:tr w14:paraId="41C4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92C7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91B71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F5068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0.464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EB7F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13.483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B5CE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14.819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2070C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1.838</w:t>
            </w:r>
          </w:p>
        </w:tc>
      </w:tr>
      <w:tr w14:paraId="5DB5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27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B83474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786EE9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7EC930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0.644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DA16D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3081B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07E73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0.070</w:t>
            </w:r>
          </w:p>
        </w:tc>
      </w:tr>
    </w:tbl>
    <w:p w14:paraId="5B1A41B1">
      <w:pPr>
        <w:spacing w:line="360" w:lineRule="auto"/>
        <w:jc w:val="both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注：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操作前5min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比较，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操作中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比较，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操作后5min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比较，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＜0.05。</w:t>
      </w:r>
    </w:p>
    <w:p w14:paraId="5D1B8EF0">
      <w:pPr>
        <w:spacing w:line="360" w:lineRule="auto"/>
        <w:jc w:val="both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2.2 对比新生儿安抚成功率、生命体征及不良反应</w:t>
      </w:r>
    </w:p>
    <w:p w14:paraId="2B278793">
      <w:pPr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观察组安抚成功率、操作中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SpO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显著高于对照组</w:t>
      </w:r>
      <w:r>
        <w:rPr>
          <w:rFonts w:hint="default" w:ascii="Times New Roman" w:hAnsi="Times New Roman" w:eastAsia="宋体" w:cs="Times New Roman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/>
          <w:iCs w:val="0"/>
          <w:sz w:val="21"/>
          <w:szCs w:val="21"/>
        </w:rPr>
        <w:t>P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</w:rPr>
        <w:t>＜0.05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，操作中HR、不良反应总发生率显著低于对照组</w:t>
      </w:r>
      <w:r>
        <w:rPr>
          <w:rFonts w:hint="default" w:ascii="Times New Roman" w:hAnsi="Times New Roman" w:eastAsia="宋体" w:cs="Times New Roman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/>
          <w:iCs w:val="0"/>
          <w:sz w:val="21"/>
          <w:szCs w:val="21"/>
        </w:rPr>
        <w:t>P</w:t>
      </w:r>
      <w:r>
        <w:rPr>
          <w:rFonts w:hint="default" w:ascii="Times New Roman" w:hAnsi="Times New Roman" w:eastAsia="宋体" w:cs="Times New Roman"/>
          <w:i w:val="0"/>
          <w:iCs/>
          <w:sz w:val="21"/>
          <w:szCs w:val="21"/>
        </w:rPr>
        <w:t>＜0.05</w:t>
      </w:r>
      <w:r>
        <w:rPr>
          <w:rFonts w:hint="default" w:ascii="Times New Roman" w:hAnsi="Times New Roman" w:eastAsia="宋体" w:cs="Times New Roman"/>
          <w:sz w:val="21"/>
          <w:szCs w:val="21"/>
        </w:rPr>
        <w:t>）。如表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>所示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054A356D">
      <w:pPr>
        <w:spacing w:line="360" w:lineRule="auto"/>
        <w:ind w:firstLine="420" w:firstLineChars="200"/>
        <w:jc w:val="center"/>
        <w:rPr>
          <w:rFonts w:hint="default" w:ascii="Times New Roman" w:hAnsi="Times New Roman" w:eastAsia="宋体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表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各组新生儿安抚成功率、生命体征及不良反应对比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[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（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position w:val="-6"/>
          <w:sz w:val="21"/>
          <w:szCs w:val="21"/>
          <w:highlight w:val="none"/>
        </w:rPr>
        <w:object>
          <v:shape id="_x0000_i1057" o:spt="75" type="#_x0000_t75" style="height:12.45pt;width:26.3pt;" o:ole="t" fillcolor="#000011" filled="f" o:preferrelative="t" stroked="f" coordsize="21600,21600">
            <v:path/>
            <v:fill on="f" focussize="0,0"/>
            <v:stroke on="f"/>
            <v:imagedata r:id="rId10" o:title=""/>
            <o:lock v:ext="edit" grouping="f" rotation="f" text="f" aspectratio="t"/>
            <w10:wrap type="none"/>
            <w10:anchorlock/>
          </v:shape>
          <o:OLEObject Type="Embed" ProgID="Equation.3" ShapeID="_x0000_i1057" DrawAspect="Content" ObjectID="_1468075727" r:id="rId12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highlight w:val="none"/>
        </w:rPr>
        <w:t>）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eastAsia="zh-CN"/>
        </w:rPr>
        <w:t>，（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val="en-US" w:eastAsia="zh-CN"/>
        </w:rPr>
        <w:t>n，%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]</w:t>
      </w:r>
    </w:p>
    <w:tbl>
      <w:tblPr>
        <w:tblStyle w:val="8"/>
        <w:tblW w:w="8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753"/>
        <w:gridCol w:w="1706"/>
        <w:gridCol w:w="1715"/>
        <w:gridCol w:w="1720"/>
        <w:gridCol w:w="1720"/>
      </w:tblGrid>
      <w:tr w14:paraId="1DDEE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72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 w14:paraId="21B9A77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753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 w14:paraId="64CE633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170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1D179F8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安抚成功率</w:t>
            </w:r>
          </w:p>
          <w:p w14:paraId="5143462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（%）</w:t>
            </w:r>
          </w:p>
        </w:tc>
        <w:tc>
          <w:tcPr>
            <w:tcW w:w="1715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554C4D6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操作中HR</w:t>
            </w:r>
          </w:p>
          <w:p w14:paraId="3B00D65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（次/分）</w:t>
            </w:r>
          </w:p>
        </w:tc>
        <w:tc>
          <w:tcPr>
            <w:tcW w:w="172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27779E4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vertAlign w:val="subscrip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操作中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SpO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vertAlign w:val="subscript"/>
                <w:lang w:val="en-US" w:eastAsia="zh-CN"/>
              </w:rPr>
              <w:t>2</w:t>
            </w:r>
          </w:p>
          <w:p w14:paraId="54E1AA5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（%）</w:t>
            </w:r>
          </w:p>
        </w:tc>
        <w:tc>
          <w:tcPr>
            <w:tcW w:w="172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5899B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不良反应总发生率（%）</w:t>
            </w:r>
          </w:p>
        </w:tc>
      </w:tr>
      <w:tr w14:paraId="384BD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27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8C5831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观察组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D1AE36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70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0427054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41（95.35）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A0D242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142.35±8.76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EDA13F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95.68±1.52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F2A1A6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1（2.32）</w:t>
            </w:r>
          </w:p>
        </w:tc>
      </w:tr>
      <w:tr w14:paraId="1230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50303B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对照组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1CB148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69141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32（74.42）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42395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159.62±10.34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B87D9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92.15±2.03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CF09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8（18.60）</w:t>
            </w:r>
          </w:p>
        </w:tc>
      </w:tr>
      <w:tr w14:paraId="3F1D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25F5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</w:rPr>
              <w:t>χ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/t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C462AB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6D0C1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7.340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A105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8.357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FB4B9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9.128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1D41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6.080</w:t>
            </w:r>
          </w:p>
        </w:tc>
      </w:tr>
      <w:tr w14:paraId="1F2E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27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46D98E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FD161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F57A30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0.007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3EEC0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58331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F0D37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0.014</w:t>
            </w:r>
          </w:p>
        </w:tc>
      </w:tr>
    </w:tbl>
    <w:p w14:paraId="18CD2E36">
      <w:pPr>
        <w:spacing w:line="360" w:lineRule="auto"/>
        <w:jc w:val="both"/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3 讨论</w:t>
      </w:r>
    </w:p>
    <w:p w14:paraId="115CB7B7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>新生儿疼痛是临床新生儿科常见的问题，侵入性操作引发的疼痛不仅会导致新生儿短期生理紊乱，还可能影响其远期神经发育，因此科学、安全的疼痛干预措施对新生儿康复具有重要意义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[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vertAlign w:val="superscript"/>
        </w:rPr>
        <w:t>]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>。常规护理仅注重基础护理和操作规范性，缺乏针对性镇痛措施，无法有效缓解新生儿疼痛。非药物镇痛因安全、无创、无不良反应的优势，已成为新生儿疼痛干预方式中的一种，其中袋鼠式护理与非营养性吸吮联合应用可发挥协同镇痛作用。</w:t>
      </w:r>
    </w:p>
    <w:p w14:paraId="471D48A7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>本结果显示，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操作中、操作后5min的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NPASS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评分、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操作中HR、不良反应总发生率对比，观察组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均显著低于对照组，并且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安抚成功率、操作中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lang w:val="en-US" w:eastAsia="zh-CN"/>
        </w:rPr>
        <w:t>SpO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均高于对照组，这表明非药物镇痛联合护理干预可有效缓解新生儿操作性疼痛、稳定生理状态。分析原因，袋鼠式护理作为一种亲密护理方式，通过母婴间的皮肤接触，能够有效地调节新生儿交感神经张力，进而减少儿茶酚胺等应激激素分泌。此类过程有助于降低新生儿HR波动，减少因疼痛引发的应激性不良反应。另一方面，非营养性吸吮则能够激活新生儿口腔内的镇痛通路，阻断痛觉信号向中枢神经系统的传导，并且在袋鼠式护理与非营养性吸吮的协同作用下，新生儿因疼痛而产生的哭闹明显减少，呼吸节律也趋于平稳，这不仅提升血氧饱和度，还提高安抚的成功率。同时，这种非药物镇痛方式避免了药物镇痛可能带来的潜在风险，而护理操作的规范性也进一步降低了呛咳、呕吐等不良反应的发生，实现镇痛效果与安全性的双重保障。</w:t>
      </w:r>
    </w:p>
    <w:p w14:paraId="1D74B7F6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综上所述，非药物镇痛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联合护理干预可有效缓解新生儿侵入性操作引发的疼痛，降低NPASS疼痛评分，稳定新生儿生命体征，提高安抚成功率，减少不良反应发生，且操作安全无创。</w:t>
      </w:r>
    </w:p>
    <w:p w14:paraId="6EC29A85">
      <w:pPr>
        <w:spacing w:line="360" w:lineRule="auto"/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</w:rPr>
        <w:t>参考文献：</w:t>
      </w:r>
    </w:p>
    <w:p w14:paraId="5C3AA7FB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[1] 中国医师协会新生儿科医师分会,中国当代儿科杂志编辑委员会. 新生儿疼痛评估与镇痛管理专家共识(2020版)[J]. 中国当代儿科杂志,2020,22(9):923-930.</w:t>
      </w:r>
    </w:p>
    <w:p w14:paraId="3BCD5F63">
      <w:pPr>
        <w:spacing w:line="360" w:lineRule="auto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[2] 王亚静,李杨,孙静,等. 新生儿重症监护病房患儿操作性疼痛现状调查[J]. 护理学杂志,2019,34(11):20-23.</w:t>
      </w:r>
    </w:p>
    <w:p w14:paraId="7182F46F">
      <w:pPr>
        <w:spacing w:line="360" w:lineRule="auto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 xml:space="preserve">[3] 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廖玲,曹颖,谭敏. 新生儿疼痛管理的最佳证据总结[J]. 现代临床护理,2025,24(4):54-62.</w:t>
      </w:r>
    </w:p>
    <w:p w14:paraId="45FD48B8">
      <w:pPr>
        <w:spacing w:line="360" w:lineRule="auto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[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]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 xml:space="preserve"> 何星蓉,郑显兰,柯淞淋,等. 基于3个英文版新生儿疼痛量表评估新生儿术后疼痛的信度和效度研究[J]. 中国循证儿科杂志,2021,16(3):186-191.</w:t>
      </w:r>
    </w:p>
    <w:p w14:paraId="5F3F4CE6">
      <w:pPr>
        <w:spacing w:line="360" w:lineRule="auto"/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[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]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</w:rPr>
        <w:t>国家儿童健康与疾病临床医学研究中心,儿童发育疾病研究教育部重点实验室,儿科学重庆市重点实验室,等. 中国新生儿疼痛管理循证指南(2023年)[J]. 中国当代儿科杂志,2023,25(2):109-127.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F9B6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E99E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32F0D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5AFA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927C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NDdlNWJjZjMwMmI2ZmIyZDcyMzc0ZmEyOWJjYzcifQ=="/>
  </w:docVars>
  <w:rsids>
    <w:rsidRoot w:val="00DB1D70"/>
    <w:rsid w:val="00042D8D"/>
    <w:rsid w:val="00042EB0"/>
    <w:rsid w:val="00043040"/>
    <w:rsid w:val="00050A67"/>
    <w:rsid w:val="00093CFD"/>
    <w:rsid w:val="00095DC8"/>
    <w:rsid w:val="000D3D8B"/>
    <w:rsid w:val="000E2F2E"/>
    <w:rsid w:val="000F4B51"/>
    <w:rsid w:val="001312D1"/>
    <w:rsid w:val="001348AA"/>
    <w:rsid w:val="001574BD"/>
    <w:rsid w:val="0017106B"/>
    <w:rsid w:val="00180916"/>
    <w:rsid w:val="0019740B"/>
    <w:rsid w:val="001C7933"/>
    <w:rsid w:val="001E5EE2"/>
    <w:rsid w:val="001F0F0B"/>
    <w:rsid w:val="001F23E6"/>
    <w:rsid w:val="002047D5"/>
    <w:rsid w:val="00205FFE"/>
    <w:rsid w:val="00241D63"/>
    <w:rsid w:val="00245618"/>
    <w:rsid w:val="00252799"/>
    <w:rsid w:val="00261704"/>
    <w:rsid w:val="002A25BA"/>
    <w:rsid w:val="002D4932"/>
    <w:rsid w:val="002D53F3"/>
    <w:rsid w:val="00337114"/>
    <w:rsid w:val="00352531"/>
    <w:rsid w:val="0036419A"/>
    <w:rsid w:val="0037522C"/>
    <w:rsid w:val="00393532"/>
    <w:rsid w:val="003A01EC"/>
    <w:rsid w:val="003F18AA"/>
    <w:rsid w:val="00401FA4"/>
    <w:rsid w:val="00440163"/>
    <w:rsid w:val="00477355"/>
    <w:rsid w:val="004A0FA2"/>
    <w:rsid w:val="004A371D"/>
    <w:rsid w:val="004A53FC"/>
    <w:rsid w:val="004C22A5"/>
    <w:rsid w:val="004E39DF"/>
    <w:rsid w:val="005054D3"/>
    <w:rsid w:val="00513218"/>
    <w:rsid w:val="0053281C"/>
    <w:rsid w:val="005520F5"/>
    <w:rsid w:val="0056095C"/>
    <w:rsid w:val="00571F3B"/>
    <w:rsid w:val="005B326D"/>
    <w:rsid w:val="005D2EE3"/>
    <w:rsid w:val="005F675F"/>
    <w:rsid w:val="006023FB"/>
    <w:rsid w:val="006277C5"/>
    <w:rsid w:val="006728FF"/>
    <w:rsid w:val="00675C6B"/>
    <w:rsid w:val="006C357A"/>
    <w:rsid w:val="006E45D6"/>
    <w:rsid w:val="006E5B0C"/>
    <w:rsid w:val="006F20F6"/>
    <w:rsid w:val="007171F5"/>
    <w:rsid w:val="007553AB"/>
    <w:rsid w:val="00763245"/>
    <w:rsid w:val="00771A8C"/>
    <w:rsid w:val="007D49B9"/>
    <w:rsid w:val="007D5FE3"/>
    <w:rsid w:val="007E17D6"/>
    <w:rsid w:val="007E37FC"/>
    <w:rsid w:val="007E3900"/>
    <w:rsid w:val="007F744B"/>
    <w:rsid w:val="007F77F5"/>
    <w:rsid w:val="0080114D"/>
    <w:rsid w:val="00806294"/>
    <w:rsid w:val="008200A5"/>
    <w:rsid w:val="00830784"/>
    <w:rsid w:val="00835D69"/>
    <w:rsid w:val="00841E37"/>
    <w:rsid w:val="00864244"/>
    <w:rsid w:val="00865418"/>
    <w:rsid w:val="008B2287"/>
    <w:rsid w:val="008C7C05"/>
    <w:rsid w:val="008E637F"/>
    <w:rsid w:val="009103C0"/>
    <w:rsid w:val="00991962"/>
    <w:rsid w:val="009A50FD"/>
    <w:rsid w:val="009A792B"/>
    <w:rsid w:val="009B5981"/>
    <w:rsid w:val="009C5EE3"/>
    <w:rsid w:val="009D3EF5"/>
    <w:rsid w:val="009F6C24"/>
    <w:rsid w:val="00A21C2F"/>
    <w:rsid w:val="00A26F6C"/>
    <w:rsid w:val="00A27373"/>
    <w:rsid w:val="00A45904"/>
    <w:rsid w:val="00A51097"/>
    <w:rsid w:val="00A64E14"/>
    <w:rsid w:val="00AB16CD"/>
    <w:rsid w:val="00AC25D6"/>
    <w:rsid w:val="00AF0087"/>
    <w:rsid w:val="00B10088"/>
    <w:rsid w:val="00B1749A"/>
    <w:rsid w:val="00B352B0"/>
    <w:rsid w:val="00B52913"/>
    <w:rsid w:val="00B61732"/>
    <w:rsid w:val="00B81382"/>
    <w:rsid w:val="00BD3969"/>
    <w:rsid w:val="00BD64B5"/>
    <w:rsid w:val="00BD790F"/>
    <w:rsid w:val="00BF42DD"/>
    <w:rsid w:val="00C0522A"/>
    <w:rsid w:val="00C36091"/>
    <w:rsid w:val="00C36C64"/>
    <w:rsid w:val="00C5549B"/>
    <w:rsid w:val="00C61763"/>
    <w:rsid w:val="00CA5587"/>
    <w:rsid w:val="00CA55DC"/>
    <w:rsid w:val="00CB6346"/>
    <w:rsid w:val="00CD77E1"/>
    <w:rsid w:val="00CF6373"/>
    <w:rsid w:val="00CF6501"/>
    <w:rsid w:val="00D15F84"/>
    <w:rsid w:val="00D655B6"/>
    <w:rsid w:val="00D75F51"/>
    <w:rsid w:val="00D84233"/>
    <w:rsid w:val="00DB1D70"/>
    <w:rsid w:val="00DC42FA"/>
    <w:rsid w:val="00DD4F38"/>
    <w:rsid w:val="00DE7D5E"/>
    <w:rsid w:val="00DF20C5"/>
    <w:rsid w:val="00E12B3A"/>
    <w:rsid w:val="00E352FE"/>
    <w:rsid w:val="00E37AD8"/>
    <w:rsid w:val="00E61866"/>
    <w:rsid w:val="00E66E10"/>
    <w:rsid w:val="00ED22E8"/>
    <w:rsid w:val="00ED432D"/>
    <w:rsid w:val="00F27C17"/>
    <w:rsid w:val="00F556F5"/>
    <w:rsid w:val="00F760D8"/>
    <w:rsid w:val="00FB2C7B"/>
    <w:rsid w:val="00FE42EC"/>
    <w:rsid w:val="00FE5CDC"/>
    <w:rsid w:val="00FE6B49"/>
    <w:rsid w:val="00FF0DB1"/>
    <w:rsid w:val="00FF2D11"/>
    <w:rsid w:val="010540FA"/>
    <w:rsid w:val="010862DA"/>
    <w:rsid w:val="011C27E6"/>
    <w:rsid w:val="01292A9D"/>
    <w:rsid w:val="01341473"/>
    <w:rsid w:val="01C01E7F"/>
    <w:rsid w:val="01D500B7"/>
    <w:rsid w:val="02600DA4"/>
    <w:rsid w:val="027F2919"/>
    <w:rsid w:val="02C32C9B"/>
    <w:rsid w:val="02F95159"/>
    <w:rsid w:val="03D50A0C"/>
    <w:rsid w:val="03E6650D"/>
    <w:rsid w:val="044A4A24"/>
    <w:rsid w:val="0451447E"/>
    <w:rsid w:val="047168CE"/>
    <w:rsid w:val="050B0AD1"/>
    <w:rsid w:val="052560A5"/>
    <w:rsid w:val="05BD2B2B"/>
    <w:rsid w:val="062D68D7"/>
    <w:rsid w:val="066176A4"/>
    <w:rsid w:val="06A54C49"/>
    <w:rsid w:val="06B73173"/>
    <w:rsid w:val="07047ECE"/>
    <w:rsid w:val="07095CBC"/>
    <w:rsid w:val="071D05AF"/>
    <w:rsid w:val="07653FC2"/>
    <w:rsid w:val="07663BAD"/>
    <w:rsid w:val="08AB42F5"/>
    <w:rsid w:val="0A6B4115"/>
    <w:rsid w:val="0A7B4003"/>
    <w:rsid w:val="0A89454C"/>
    <w:rsid w:val="0B1012C4"/>
    <w:rsid w:val="0D1F6A98"/>
    <w:rsid w:val="0D2B10E2"/>
    <w:rsid w:val="0D5D72F6"/>
    <w:rsid w:val="0D6C757C"/>
    <w:rsid w:val="0D8B454A"/>
    <w:rsid w:val="0DCB4CFA"/>
    <w:rsid w:val="0E3E7226"/>
    <w:rsid w:val="0F1B64A6"/>
    <w:rsid w:val="0F4D099B"/>
    <w:rsid w:val="100C34D6"/>
    <w:rsid w:val="101B7495"/>
    <w:rsid w:val="103F7CB7"/>
    <w:rsid w:val="10B97633"/>
    <w:rsid w:val="10C9763E"/>
    <w:rsid w:val="11142A30"/>
    <w:rsid w:val="11872FB1"/>
    <w:rsid w:val="119C551F"/>
    <w:rsid w:val="11CB1D14"/>
    <w:rsid w:val="12027249"/>
    <w:rsid w:val="12AB5E1C"/>
    <w:rsid w:val="12B847BF"/>
    <w:rsid w:val="133C334F"/>
    <w:rsid w:val="13E75591"/>
    <w:rsid w:val="13F94DB6"/>
    <w:rsid w:val="140638EC"/>
    <w:rsid w:val="143C660E"/>
    <w:rsid w:val="14461B3C"/>
    <w:rsid w:val="148C118C"/>
    <w:rsid w:val="14A14979"/>
    <w:rsid w:val="14E82BDD"/>
    <w:rsid w:val="15055D99"/>
    <w:rsid w:val="15060858"/>
    <w:rsid w:val="15253159"/>
    <w:rsid w:val="15B93A45"/>
    <w:rsid w:val="165D05CE"/>
    <w:rsid w:val="17DE0D71"/>
    <w:rsid w:val="17E9004B"/>
    <w:rsid w:val="1833085F"/>
    <w:rsid w:val="187616A4"/>
    <w:rsid w:val="187F007E"/>
    <w:rsid w:val="191B7A42"/>
    <w:rsid w:val="19A03237"/>
    <w:rsid w:val="1A133D69"/>
    <w:rsid w:val="1A7D65C0"/>
    <w:rsid w:val="1AA90ECC"/>
    <w:rsid w:val="1ABC044C"/>
    <w:rsid w:val="1B22109E"/>
    <w:rsid w:val="1BE37173"/>
    <w:rsid w:val="1BFD4CAF"/>
    <w:rsid w:val="1CFF2222"/>
    <w:rsid w:val="1D902D93"/>
    <w:rsid w:val="1DE81558"/>
    <w:rsid w:val="1E190139"/>
    <w:rsid w:val="1E2050DC"/>
    <w:rsid w:val="1E2840C8"/>
    <w:rsid w:val="1E424233"/>
    <w:rsid w:val="1E5B61CE"/>
    <w:rsid w:val="1EEE4972"/>
    <w:rsid w:val="1F26601A"/>
    <w:rsid w:val="1F375ABF"/>
    <w:rsid w:val="1F646C97"/>
    <w:rsid w:val="1FB06E6C"/>
    <w:rsid w:val="2015437F"/>
    <w:rsid w:val="20892817"/>
    <w:rsid w:val="208F6EFA"/>
    <w:rsid w:val="212925B3"/>
    <w:rsid w:val="21481B35"/>
    <w:rsid w:val="216102B5"/>
    <w:rsid w:val="216333B9"/>
    <w:rsid w:val="219D24CE"/>
    <w:rsid w:val="21F11323"/>
    <w:rsid w:val="233A6399"/>
    <w:rsid w:val="234A7EF6"/>
    <w:rsid w:val="235A3750"/>
    <w:rsid w:val="237A41C3"/>
    <w:rsid w:val="23C378F8"/>
    <w:rsid w:val="242E5E97"/>
    <w:rsid w:val="24711002"/>
    <w:rsid w:val="24C61A8B"/>
    <w:rsid w:val="250E3DCC"/>
    <w:rsid w:val="26562074"/>
    <w:rsid w:val="26774EC8"/>
    <w:rsid w:val="26AE3F4A"/>
    <w:rsid w:val="28231308"/>
    <w:rsid w:val="295D56AB"/>
    <w:rsid w:val="299D769A"/>
    <w:rsid w:val="2A0A29A8"/>
    <w:rsid w:val="2D1C60AB"/>
    <w:rsid w:val="2DF9330D"/>
    <w:rsid w:val="2E5B432B"/>
    <w:rsid w:val="2E9B5EE1"/>
    <w:rsid w:val="2EA4634B"/>
    <w:rsid w:val="2ECB6A58"/>
    <w:rsid w:val="2F176141"/>
    <w:rsid w:val="2F3B0C6D"/>
    <w:rsid w:val="2F3E04D6"/>
    <w:rsid w:val="30281C88"/>
    <w:rsid w:val="312A78E6"/>
    <w:rsid w:val="31BF2ACB"/>
    <w:rsid w:val="32273A57"/>
    <w:rsid w:val="322D4375"/>
    <w:rsid w:val="324C11D2"/>
    <w:rsid w:val="32CE3172"/>
    <w:rsid w:val="32D251AD"/>
    <w:rsid w:val="32E61E5E"/>
    <w:rsid w:val="336600CE"/>
    <w:rsid w:val="338414A1"/>
    <w:rsid w:val="33843E1B"/>
    <w:rsid w:val="338E5B89"/>
    <w:rsid w:val="33A67A93"/>
    <w:rsid w:val="341F330D"/>
    <w:rsid w:val="34AB11F7"/>
    <w:rsid w:val="34CD2882"/>
    <w:rsid w:val="350E7186"/>
    <w:rsid w:val="3518676F"/>
    <w:rsid w:val="35841877"/>
    <w:rsid w:val="359166D6"/>
    <w:rsid w:val="35CE0AAA"/>
    <w:rsid w:val="35F30F63"/>
    <w:rsid w:val="36A5242F"/>
    <w:rsid w:val="36E931AD"/>
    <w:rsid w:val="37647A49"/>
    <w:rsid w:val="37962C96"/>
    <w:rsid w:val="37B23C6B"/>
    <w:rsid w:val="37FE7E9E"/>
    <w:rsid w:val="382900F2"/>
    <w:rsid w:val="38556052"/>
    <w:rsid w:val="38C218D1"/>
    <w:rsid w:val="38C95AD5"/>
    <w:rsid w:val="38E251EF"/>
    <w:rsid w:val="398D0E74"/>
    <w:rsid w:val="3AEC3948"/>
    <w:rsid w:val="3B2818D9"/>
    <w:rsid w:val="3B340BF0"/>
    <w:rsid w:val="3B8B7F97"/>
    <w:rsid w:val="3BF81D89"/>
    <w:rsid w:val="3C6214C0"/>
    <w:rsid w:val="3CBD3554"/>
    <w:rsid w:val="3CD073D8"/>
    <w:rsid w:val="3CF970E3"/>
    <w:rsid w:val="3DB31FF7"/>
    <w:rsid w:val="3E067AAC"/>
    <w:rsid w:val="3E7616E8"/>
    <w:rsid w:val="3E9B798C"/>
    <w:rsid w:val="3EB27EC6"/>
    <w:rsid w:val="3EED1275"/>
    <w:rsid w:val="3EFE0783"/>
    <w:rsid w:val="3F32364C"/>
    <w:rsid w:val="400F4F5D"/>
    <w:rsid w:val="40302727"/>
    <w:rsid w:val="411E7AC5"/>
    <w:rsid w:val="412B5C1A"/>
    <w:rsid w:val="413019D6"/>
    <w:rsid w:val="4152428E"/>
    <w:rsid w:val="41827DDE"/>
    <w:rsid w:val="42470737"/>
    <w:rsid w:val="42A60DDF"/>
    <w:rsid w:val="436F04BE"/>
    <w:rsid w:val="44EA3BB4"/>
    <w:rsid w:val="45705077"/>
    <w:rsid w:val="46CE0CFE"/>
    <w:rsid w:val="472B2D52"/>
    <w:rsid w:val="475B669D"/>
    <w:rsid w:val="49A747A0"/>
    <w:rsid w:val="4A31122D"/>
    <w:rsid w:val="4A657908"/>
    <w:rsid w:val="4AC6103A"/>
    <w:rsid w:val="4AD71D6D"/>
    <w:rsid w:val="4B0E61E1"/>
    <w:rsid w:val="4BAA5D3A"/>
    <w:rsid w:val="4C3C6431"/>
    <w:rsid w:val="4CA77365"/>
    <w:rsid w:val="4D0A447E"/>
    <w:rsid w:val="4D3B1B1E"/>
    <w:rsid w:val="4D5C2738"/>
    <w:rsid w:val="4E1C6850"/>
    <w:rsid w:val="4E992277"/>
    <w:rsid w:val="4EAC007D"/>
    <w:rsid w:val="4F166A23"/>
    <w:rsid w:val="5179448B"/>
    <w:rsid w:val="52535ED2"/>
    <w:rsid w:val="52842E16"/>
    <w:rsid w:val="53206C61"/>
    <w:rsid w:val="532C0AA1"/>
    <w:rsid w:val="541F618D"/>
    <w:rsid w:val="54361034"/>
    <w:rsid w:val="547A4E17"/>
    <w:rsid w:val="5600146F"/>
    <w:rsid w:val="5654697D"/>
    <w:rsid w:val="565E6849"/>
    <w:rsid w:val="57537D8A"/>
    <w:rsid w:val="578970AD"/>
    <w:rsid w:val="57914433"/>
    <w:rsid w:val="586E2B00"/>
    <w:rsid w:val="58BC103B"/>
    <w:rsid w:val="59461DDB"/>
    <w:rsid w:val="594C782E"/>
    <w:rsid w:val="59656EF3"/>
    <w:rsid w:val="596A6EB1"/>
    <w:rsid w:val="59B30690"/>
    <w:rsid w:val="5A531172"/>
    <w:rsid w:val="5A686864"/>
    <w:rsid w:val="5AA17630"/>
    <w:rsid w:val="5ABB6CCB"/>
    <w:rsid w:val="5AD14B46"/>
    <w:rsid w:val="5B374F91"/>
    <w:rsid w:val="5B73500E"/>
    <w:rsid w:val="5BC3354F"/>
    <w:rsid w:val="5C311E40"/>
    <w:rsid w:val="5C3909E9"/>
    <w:rsid w:val="5C691FBA"/>
    <w:rsid w:val="5CFF3BED"/>
    <w:rsid w:val="5D2E002E"/>
    <w:rsid w:val="5D413549"/>
    <w:rsid w:val="5E847C08"/>
    <w:rsid w:val="5EAC56AE"/>
    <w:rsid w:val="5EC155FD"/>
    <w:rsid w:val="600D1404"/>
    <w:rsid w:val="60F71DC5"/>
    <w:rsid w:val="60F72352"/>
    <w:rsid w:val="61025A59"/>
    <w:rsid w:val="615837DE"/>
    <w:rsid w:val="61A10B5B"/>
    <w:rsid w:val="61D76CFF"/>
    <w:rsid w:val="624404D2"/>
    <w:rsid w:val="630C16BA"/>
    <w:rsid w:val="633D7635"/>
    <w:rsid w:val="64540CC2"/>
    <w:rsid w:val="645D6DD9"/>
    <w:rsid w:val="64760C38"/>
    <w:rsid w:val="64DA49F4"/>
    <w:rsid w:val="661C17EF"/>
    <w:rsid w:val="66DB2FD4"/>
    <w:rsid w:val="67904828"/>
    <w:rsid w:val="6792076B"/>
    <w:rsid w:val="67FF35B6"/>
    <w:rsid w:val="6807076A"/>
    <w:rsid w:val="68375F9B"/>
    <w:rsid w:val="68833924"/>
    <w:rsid w:val="68954FB9"/>
    <w:rsid w:val="68A817D3"/>
    <w:rsid w:val="68BE42FE"/>
    <w:rsid w:val="68E25861"/>
    <w:rsid w:val="693A2ECF"/>
    <w:rsid w:val="69474191"/>
    <w:rsid w:val="696553FB"/>
    <w:rsid w:val="698060B5"/>
    <w:rsid w:val="6A0966C1"/>
    <w:rsid w:val="6A116CDD"/>
    <w:rsid w:val="6A501C6B"/>
    <w:rsid w:val="6B694E31"/>
    <w:rsid w:val="6CC87B57"/>
    <w:rsid w:val="6DA9161A"/>
    <w:rsid w:val="6DB87014"/>
    <w:rsid w:val="6DE91B35"/>
    <w:rsid w:val="6E405E13"/>
    <w:rsid w:val="6F1A3D02"/>
    <w:rsid w:val="6FE078AE"/>
    <w:rsid w:val="70957CDA"/>
    <w:rsid w:val="70D93433"/>
    <w:rsid w:val="71463740"/>
    <w:rsid w:val="715942DB"/>
    <w:rsid w:val="717A5FC5"/>
    <w:rsid w:val="72C44E48"/>
    <w:rsid w:val="736308DE"/>
    <w:rsid w:val="73F456D6"/>
    <w:rsid w:val="740053D4"/>
    <w:rsid w:val="740E2D44"/>
    <w:rsid w:val="74183591"/>
    <w:rsid w:val="74AA6DCB"/>
    <w:rsid w:val="74DA2B1D"/>
    <w:rsid w:val="75F0548E"/>
    <w:rsid w:val="75F22E71"/>
    <w:rsid w:val="76AB4E51"/>
    <w:rsid w:val="77466F97"/>
    <w:rsid w:val="77531160"/>
    <w:rsid w:val="778210CF"/>
    <w:rsid w:val="77A45279"/>
    <w:rsid w:val="77E4458E"/>
    <w:rsid w:val="784E29AB"/>
    <w:rsid w:val="786A1EE9"/>
    <w:rsid w:val="787D7471"/>
    <w:rsid w:val="788D1AA7"/>
    <w:rsid w:val="78946AAE"/>
    <w:rsid w:val="78B63182"/>
    <w:rsid w:val="78B7520C"/>
    <w:rsid w:val="79E41D86"/>
    <w:rsid w:val="79EC4C14"/>
    <w:rsid w:val="7A297FC6"/>
    <w:rsid w:val="7AA541D4"/>
    <w:rsid w:val="7B51202F"/>
    <w:rsid w:val="7B7A513B"/>
    <w:rsid w:val="7B975DFB"/>
    <w:rsid w:val="7BCC7F0D"/>
    <w:rsid w:val="7BFF6B3E"/>
    <w:rsid w:val="7C1B0497"/>
    <w:rsid w:val="7CD12A9C"/>
    <w:rsid w:val="7D141C56"/>
    <w:rsid w:val="7D3A4B55"/>
    <w:rsid w:val="7D6D7FBA"/>
    <w:rsid w:val="7F074268"/>
    <w:rsid w:val="7F8B7ED0"/>
    <w:rsid w:val="7F9970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uiPriority w:val="0"/>
    <w:rPr>
      <w:b/>
      <w:bCs/>
    </w:rPr>
  </w:style>
  <w:style w:type="character" w:styleId="10">
    <w:name w:val="Emphasis"/>
    <w:basedOn w:val="9"/>
    <w:uiPriority w:val="0"/>
    <w:rPr>
      <w:i/>
    </w:rPr>
  </w:style>
  <w:style w:type="character" w:styleId="11">
    <w:name w:val="Hyperlink"/>
    <w:basedOn w:val="9"/>
    <w:uiPriority w:val="0"/>
    <w:rPr>
      <w:color w:val="0000FF"/>
      <w:u w:val="single"/>
    </w:rPr>
  </w:style>
  <w:style w:type="character" w:styleId="12">
    <w:name w:val="annotation reference"/>
    <w:basedOn w:val="9"/>
    <w:semiHidden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oleObject" Target="embeddings/oleObject3.bin"/><Relationship Id="rId11" Type="http://schemas.openxmlformats.org/officeDocument/2006/relationships/oleObject" Target="embeddings/oleObject2.bin"/><Relationship Id="rId10" Type="http://schemas.openxmlformats.org/officeDocument/2006/relationships/image" Target="media/image1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Sky123.Org</Company>
  <Pages>4</Pages>
  <Words>2882</Words>
  <Characters>3413</Characters>
  <Lines>1</Lines>
  <Paragraphs>1</Paragraphs>
  <TotalTime>2</TotalTime>
  <ScaleCrop>false</ScaleCrop>
  <LinksUpToDate>false</LinksUpToDate>
  <CharactersWithSpaces>3451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2015-07-07T08:42:00Z</dcterms:created>
  <dc:creator>Administrator</dc:creator>
  <cp:lastModifiedBy>A万方Doi龙源期刊网此号不收款</cp:lastModifiedBy>
  <dcterms:modified xsi:type="dcterms:W3CDTF">2026-07-09T13:08:51Z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RubyTemplateID">
    <vt:lpwstr>6</vt:lpwstr>
  </property>
  <property fmtid="{D5CDD505-2E9C-101B-9397-08002B2CF9AE}" pid="4" name="ICV">
    <vt:lpwstr>4BA9901066DB4D159C6A49F478977F6A_13</vt:lpwstr>
  </property>
  <property fmtid="{D5CDD505-2E9C-101B-9397-08002B2CF9AE}" pid="5" name="KSOTemplateDocerSaveRecord">
    <vt:lpwstr>eyJoZGlkIjoiZDI0ZGRkMjc2NjM4NTlhOWZjZjM1NzE0NjFkMmU3YmIiLCJ1c2VySWQiOiIyNDYzODMyMDQifQ==</vt:lpwstr>
  </property>
</Properties>
</file>