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24F11">
      <w:pPr>
        <w:jc w:val="center"/>
        <w:rPr>
          <w:rFonts w:hint="eastAsia"/>
          <w:b/>
          <w:bCs/>
          <w:sz w:val="30"/>
          <w:szCs w:val="30"/>
        </w:rPr>
      </w:pPr>
      <w:bookmarkStart w:id="0" w:name="_GoBack"/>
      <w:r>
        <w:rPr>
          <w:rFonts w:hint="eastAsia"/>
          <w:b/>
          <w:bCs/>
          <w:sz w:val="30"/>
          <w:szCs w:val="30"/>
        </w:rPr>
        <w:t>规范化护理在脑梗塞患者护理中的效果及对焦虑</w:t>
      </w:r>
      <w:r>
        <w:rPr>
          <w:rFonts w:hint="eastAsia"/>
          <w:b/>
          <w:bCs/>
          <w:sz w:val="30"/>
          <w:szCs w:val="30"/>
          <w:lang w:eastAsia="zh-CN"/>
        </w:rPr>
        <w:t>、</w:t>
      </w:r>
      <w:r>
        <w:rPr>
          <w:rFonts w:hint="eastAsia"/>
          <w:b/>
          <w:bCs/>
          <w:sz w:val="30"/>
          <w:szCs w:val="30"/>
        </w:rPr>
        <w:t>抑郁情绪的影响</w:t>
      </w:r>
    </w:p>
    <w:bookmarkEnd w:id="0"/>
    <w:p w14:paraId="489977D9">
      <w:pPr>
        <w:jc w:val="center"/>
        <w:rPr>
          <w:rFonts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</w:rPr>
        <w:t>向冰心</w:t>
      </w:r>
    </w:p>
    <w:p w14:paraId="25BDC8DE">
      <w:pPr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</w:rPr>
        <w:t>武汉市汉口医院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  <w:lang w:val="en-US" w:eastAsia="zh-CN"/>
        </w:rPr>
        <w:t xml:space="preserve"> 湖北 </w:t>
      </w:r>
      <w:r>
        <w:rPr>
          <w:rFonts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</w:rPr>
        <w:t>武汉</w:t>
      </w:r>
      <w:r>
        <w:rPr>
          <w:rFonts w:ascii="微软雅黑" w:hAnsi="微软雅黑" w:eastAsia="微软雅黑" w:cs="微软雅黑"/>
          <w:i w:val="0"/>
          <w:iCs w:val="0"/>
          <w:caps w:val="0"/>
          <w:color w:val="22191D"/>
          <w:spacing w:val="0"/>
          <w:sz w:val="21"/>
          <w:szCs w:val="21"/>
          <w:shd w:val="clear" w:fill="FFF8F8"/>
        </w:rPr>
        <w:t>430012</w:t>
      </w:r>
    </w:p>
    <w:p w14:paraId="2B1E7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【摘要】目的：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观察脑梗塞临床开展规范化护理的价值与现实指导意义。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方法：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选择2025年1月至2026年1月，我院临床所收治的80例脑梗塞患者。依照随机数字表为分配原则将其分为两个独立小组，各40例。开展不同护理措施（常规护理；规范化护理），比较护理效果及情绪影响。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结果：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护理后，两组间数值比较，观察组焦虑、抑郁评分显著更低（P＜0.05）。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结论：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在脑梗塞患者的临床护理中，规范化护理可有效改善患者情绪，从而提高护理效果。</w:t>
      </w:r>
    </w:p>
    <w:p w14:paraId="26ADD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 xml:space="preserve">【关键词】  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脑梗塞；规范化护理；焦虑；抑郁</w:t>
      </w:r>
    </w:p>
    <w:p w14:paraId="3F56A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脑梗塞作为临床常见的缺血性脑血管疾病，具有高发病率、高致残率的特点，严重威胁患者生命质量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[1]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。除神经功能缺损外，焦虑、抑郁等负性情绪在脑梗死后普遍存在，不仅延缓康复进程，更影响治疗依从性。规范化护理强调基于循证与标准流程，提供系统、连续、全面的干预措施，已逐渐应用于神经康复领域。本研究旨在探讨规范化护理模式对脑梗塞患者护理效果的具体作用，并重点评估其对改善焦虑、抑郁情绪的影响，以期为临床优化护理策略、促进患者身心整体康复提供参考依据。</w:t>
      </w:r>
    </w:p>
    <w:p w14:paraId="62AD4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1.资料方法</w:t>
      </w:r>
    </w:p>
    <w:p w14:paraId="6CBD4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1.1一般资料</w:t>
      </w:r>
    </w:p>
    <w:p w14:paraId="3FF94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选择2025年1月至2026年1月，我院临床所收治的80例脑梗塞患者。依照随机数字表为分配原则将其分为两个独立小组，各40例。其中，对照组男/女：22/18。年龄46-73岁，平均年龄为（60.25±1.49）岁。病程2-9个月，平均（4.03±0.64）个月；观察组男/女：23/17。年龄45-74岁，平均年龄为（61.18±1.55）岁。病程1-10个月，平均（4.18±0.57）个月。经临床对比，两组间患者在各项临床基线资料的对比中，并未发现数值的显著差异（P＞0.05），可对比性良好。</w:t>
      </w:r>
    </w:p>
    <w:p w14:paraId="4821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方法</w:t>
      </w:r>
    </w:p>
    <w:p w14:paraId="2A67A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对照组：常规护理，包括密切监测生命体征、维持呼吸道通畅、遵医嘱给药、指导合理饮食与基础康复活动，并提供常规健康宣教等。</w:t>
      </w:r>
    </w:p>
    <w:p w14:paraId="13F89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观察组：实施规范化护理，具体措施如下：</w:t>
      </w:r>
    </w:p>
    <w:p w14:paraId="6571C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（1）入院评估与计划制定：采用标准化评估表收集患者神经功能缺损程度、日常生活能力及心理状态，由责任护士与康复医师共同制定个体化护理方案。</w:t>
      </w:r>
    </w:p>
    <w:p w14:paraId="53CEF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（2）心理干预规范化：入院24 h内及每周运用焦虑自评量表（SAS）、抑郁自评量表（SDS）动态评估情绪，针对评分异常者实施认知干预、放松训练及正性鼓励，每周至少2次，每次20～30 min。</w:t>
      </w:r>
    </w:p>
    <w:p w14:paraId="08E92C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（3）康复护理规范化：依据脑梗塞康复指南，分阶段开展肢体被动与主动训练、平衡训练及日常生活活动训练，每日1～2次，每次30 min，并由护士记录执行情况。</w:t>
      </w:r>
    </w:p>
    <w:p w14:paraId="17228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（4）健康教育与出院指导：采用标准健康教育手册，一对一讲解疾病知识、用药依从性、复发预防及居家康复要点，出院前给予书面指导方案并安排电话随访（每2周1次，持续2个月）。所有操作均有明确流程记录与质控检查。</w:t>
      </w:r>
    </w:p>
    <w:p w14:paraId="19C02E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观察指标</w:t>
      </w:r>
    </w:p>
    <w:p w14:paraId="37BEE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情绪状态：采用焦虑自评量表（SAS）和抑郁自评量表（SDS）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[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]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评估患者护理前后情绪变化。两个量表各含20个条目，采用4级评分法（1～4分）。SAS标准分≥50分提示存在焦虑，分值越高焦虑程度越重；SDS标准分≥53分提示存在抑郁。评估由经过统一培训的护士在患者入院24h内（护理前）及出院当天（护理后）独立进行。</w:t>
      </w:r>
    </w:p>
    <w:p w14:paraId="4A8C8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1.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统计学分析</w:t>
      </w:r>
    </w:p>
    <w:p w14:paraId="20C92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</w:rPr>
        <w:t>数据的统计分</w:t>
      </w:r>
      <w:r>
        <w:rPr>
          <w:rFonts w:ascii="Times New Roman" w:hAnsi="Times New Roman" w:cs="Times New Roman"/>
          <w:szCs w:val="21"/>
        </w:rPr>
        <w:t>析在SPSS 26.0平台上执行。其中，计数资料、计量资料分别以百分比（%）、均数±标准差表示；其组间比较则相应地借助</w:t>
      </w:r>
      <w:r>
        <w:rPr>
          <w:rFonts w:ascii="Times New Roman" w:hAnsi="Times New Roman" w:cs="Times New Roman"/>
          <w:szCs w:val="21"/>
        </w:rPr>
        <w:sym w:font="Symbol" w:char="F063"/>
      </w: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 xml:space="preserve">检验与t检验完成。本研究中，将P </w:t>
      </w:r>
      <w:r>
        <w:rPr>
          <w:rFonts w:hint="eastAsia" w:ascii="Times New Roman" w:hAnsi="Times New Roman" w:cs="Times New Roman"/>
          <w:szCs w:val="21"/>
        </w:rPr>
        <w:t>＜</w:t>
      </w:r>
      <w:r>
        <w:rPr>
          <w:rFonts w:ascii="Times New Roman" w:hAnsi="Times New Roman" w:cs="Times New Roman"/>
          <w:szCs w:val="21"/>
        </w:rPr>
        <w:t xml:space="preserve"> 0.05界定为组间差异具有统计学意义。</w:t>
      </w:r>
    </w:p>
    <w:p w14:paraId="6BFFD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2.结果</w:t>
      </w:r>
    </w:p>
    <w:p w14:paraId="1263E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cs="Times New Roman"/>
          <w:b w:val="0"/>
          <w:bCs w:val="0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见表1数据结果可知，护理前两组患者各项数值评估结果未见显著差异（P＜0.05）；护理后，两组间数值比较，观察组焦虑、抑郁评分显著更低（P＜0.05）。</w:t>
      </w:r>
    </w:p>
    <w:p w14:paraId="3AE21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w w:val="100"/>
          <w:sz w:val="21"/>
          <w:szCs w:val="21"/>
          <w:vertAlign w:val="baseline"/>
        </w:rPr>
      </w:pP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表1 两组患者护理前后情绪状态分析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w w:val="100"/>
          <w:sz w:val="21"/>
          <w:szCs w:val="21"/>
          <w:vertAlign w:val="baseline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drawing>
          <wp:inline distT="0" distB="0" distL="114300" distR="114300">
            <wp:extent cx="342900" cy="17145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auto"/>
          <w:spacing w:val="0"/>
          <w:w w:val="100"/>
          <w:sz w:val="21"/>
          <w:szCs w:val="21"/>
          <w:vertAlign w:val="baseline"/>
        </w:rPr>
        <w:t>，分）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827"/>
        <w:gridCol w:w="1648"/>
        <w:gridCol w:w="1648"/>
        <w:gridCol w:w="1648"/>
        <w:gridCol w:w="1648"/>
      </w:tblGrid>
      <w:tr w14:paraId="62D080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46" w:type="pct"/>
            <w:vMerge w:val="restart"/>
            <w:tcBorders>
              <w:tl2br w:val="nil"/>
              <w:tr2bl w:val="nil"/>
            </w:tcBorders>
          </w:tcPr>
          <w:p w14:paraId="38B0C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组别</w:t>
            </w:r>
          </w:p>
        </w:tc>
        <w:tc>
          <w:tcPr>
            <w:tcW w:w="485" w:type="pct"/>
            <w:vMerge w:val="restart"/>
            <w:tcBorders>
              <w:tl2br w:val="nil"/>
              <w:tr2bl w:val="nil"/>
            </w:tcBorders>
          </w:tcPr>
          <w:p w14:paraId="39323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例数</w:t>
            </w:r>
          </w:p>
        </w:tc>
        <w:tc>
          <w:tcPr>
            <w:tcW w:w="1934" w:type="pct"/>
            <w:gridSpan w:val="2"/>
            <w:tcBorders>
              <w:tl2br w:val="nil"/>
              <w:tr2bl w:val="nil"/>
            </w:tcBorders>
          </w:tcPr>
          <w:p w14:paraId="438A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SAS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评分</w:t>
            </w:r>
          </w:p>
        </w:tc>
        <w:tc>
          <w:tcPr>
            <w:tcW w:w="1934" w:type="pct"/>
            <w:gridSpan w:val="2"/>
            <w:tcBorders>
              <w:bottom w:val="single" w:color="000000" w:sz="4" w:space="0"/>
              <w:tl2br w:val="nil"/>
              <w:tr2bl w:val="nil"/>
            </w:tcBorders>
          </w:tcPr>
          <w:p w14:paraId="1CFC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SDS</w:t>
            </w: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评分</w:t>
            </w:r>
          </w:p>
        </w:tc>
      </w:tr>
      <w:tr w14:paraId="701714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 w14:paraId="2D1DF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85" w:type="pct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 w14:paraId="7FB8C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 w14:paraId="65D60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护理前</w:t>
            </w:r>
          </w:p>
        </w:tc>
        <w:tc>
          <w:tcPr>
            <w:tcW w:w="96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</w:tcPr>
          <w:p w14:paraId="037CE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护理后</w:t>
            </w:r>
          </w:p>
        </w:tc>
        <w:tc>
          <w:tcPr>
            <w:tcW w:w="96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2DE3C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护理前</w:t>
            </w:r>
          </w:p>
        </w:tc>
        <w:tc>
          <w:tcPr>
            <w:tcW w:w="967" w:type="pct"/>
            <w:tcBorders>
              <w:top w:val="single" w:color="000000" w:sz="4" w:space="0"/>
              <w:bottom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23B6B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护理后</w:t>
            </w:r>
          </w:p>
        </w:tc>
      </w:tr>
      <w:tr w14:paraId="2090A3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  <w:tcBorders>
              <w:top w:val="single" w:color="000000" w:sz="4" w:space="0"/>
              <w:tl2br w:val="nil"/>
              <w:tr2bl w:val="nil"/>
            </w:tcBorders>
          </w:tcPr>
          <w:p w14:paraId="00F29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对照组</w:t>
            </w:r>
          </w:p>
        </w:tc>
        <w:tc>
          <w:tcPr>
            <w:tcW w:w="485" w:type="pct"/>
            <w:tcBorders>
              <w:top w:val="single" w:color="000000" w:sz="4" w:space="0"/>
              <w:tl2br w:val="nil"/>
              <w:tr2bl w:val="nil"/>
            </w:tcBorders>
          </w:tcPr>
          <w:p w14:paraId="5DEDA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967" w:type="pct"/>
            <w:tcBorders>
              <w:top w:val="single" w:color="000000" w:sz="4" w:space="0"/>
              <w:tl2br w:val="nil"/>
              <w:tr2bl w:val="nil"/>
            </w:tcBorders>
          </w:tcPr>
          <w:p w14:paraId="0FE3F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58.32±4.56</w:t>
            </w:r>
          </w:p>
        </w:tc>
        <w:tc>
          <w:tcPr>
            <w:tcW w:w="967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47B4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52.15±4.21</w:t>
            </w:r>
          </w:p>
        </w:tc>
        <w:tc>
          <w:tcPr>
            <w:tcW w:w="967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10F1B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57.86±5.02</w:t>
            </w:r>
          </w:p>
        </w:tc>
        <w:tc>
          <w:tcPr>
            <w:tcW w:w="967" w:type="pct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top"/>
          </w:tcPr>
          <w:p w14:paraId="3EFF6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51.67±4.58</w:t>
            </w:r>
          </w:p>
        </w:tc>
      </w:tr>
      <w:tr w14:paraId="031C1C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  <w:tcBorders>
              <w:tl2br w:val="nil"/>
              <w:tr2bl w:val="nil"/>
            </w:tcBorders>
          </w:tcPr>
          <w:p w14:paraId="14DFF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观察组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 w14:paraId="7C2F9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40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6A78F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57.89±4.62</w:t>
            </w:r>
          </w:p>
        </w:tc>
        <w:tc>
          <w:tcPr>
            <w:tcW w:w="96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0DE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43.26±3.85</w:t>
            </w:r>
          </w:p>
        </w:tc>
        <w:tc>
          <w:tcPr>
            <w:tcW w:w="96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D08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58.12±4.94</w:t>
            </w:r>
          </w:p>
        </w:tc>
        <w:tc>
          <w:tcPr>
            <w:tcW w:w="967" w:type="pct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F07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42.33±4.09</w:t>
            </w:r>
          </w:p>
        </w:tc>
      </w:tr>
      <w:tr w14:paraId="528568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  <w:tcBorders>
              <w:tl2br w:val="nil"/>
              <w:tr2bl w:val="nil"/>
            </w:tcBorders>
          </w:tcPr>
          <w:p w14:paraId="4013F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t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 w14:paraId="2D447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700FC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0.423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7BC45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10.082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4217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0.235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37C88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9.671</w:t>
            </w:r>
          </w:p>
        </w:tc>
      </w:tr>
      <w:tr w14:paraId="423B97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6" w:type="pct"/>
            <w:tcBorders>
              <w:tl2br w:val="nil"/>
              <w:tr2bl w:val="nil"/>
            </w:tcBorders>
          </w:tcPr>
          <w:p w14:paraId="033AF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P</w:t>
            </w:r>
          </w:p>
        </w:tc>
        <w:tc>
          <w:tcPr>
            <w:tcW w:w="485" w:type="pct"/>
            <w:tcBorders>
              <w:tl2br w:val="nil"/>
              <w:tr2bl w:val="nil"/>
            </w:tcBorders>
          </w:tcPr>
          <w:p w14:paraId="482AE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-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6A874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0.326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1A47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2ACBF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0.519</w:t>
            </w:r>
          </w:p>
        </w:tc>
        <w:tc>
          <w:tcPr>
            <w:tcW w:w="967" w:type="pct"/>
            <w:tcBorders>
              <w:tl2br w:val="nil"/>
              <w:tr2bl w:val="nil"/>
            </w:tcBorders>
          </w:tcPr>
          <w:p w14:paraId="5A602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＜0.001</w:t>
            </w:r>
          </w:p>
        </w:tc>
      </w:tr>
    </w:tbl>
    <w:p w14:paraId="2B80E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3.讨论</w:t>
      </w:r>
    </w:p>
    <w:p w14:paraId="64895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脑梗塞后患者常因神经功能缺损、自理能力下降及社会角色转变而继发焦虑、抑郁等负性情绪，发生率可达40%~60%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[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vertAlign w:val="superscript"/>
          <w:lang w:val="en-US" w:eastAsia="zh-CN"/>
        </w:rPr>
        <w:t>]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。负性情绪通过激活下丘脑-垂体-肾上腺轴，升高皮质醇水平，抑制神经修复并降低康复依从性，形成恶性循环。常规护理多侧重生命体征监测与基础康复，缺乏对心理状态的系统干预。规范化护理则基于循证指南，将心理评估、分层干预、阶段性康复训练及延续性健康教育整合为标准化流程，为改善患者情绪提供了可行路径。</w:t>
      </w:r>
    </w:p>
    <w:p w14:paraId="76A37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本研究结果显示，护理后观察组SAS评分及SDS评分均显著低于对照组，组间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数值结果存在显著差异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（P＜0.001）。数据表明，规范化护理对缓解焦虑、抑郁效果明确。深入分析其原因：一方面，入院24h内及每周动态评估情绪并实施认知干预、放松训练，可及早识别异常情绪，通过纠正“卒中即瘫痪”等错误认知，降低交感神经兴奋性，减少去甲肾上腺素过度分泌，从而快速缓解焦虑；另一方面，分阶段肢体主动训练与日常生活活动训练促进运动皮质重塑，患者看到功能改善后自我效能感提升，有助于打破“无助-抑郁”负反馈。此外，标准化健康教育与定期电话随访强化了疾病认知与用药依从性，减少因复发恐惧诱发的慢性焦虑。</w:t>
      </w:r>
    </w:p>
    <w:p w14:paraId="5A4AB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综上，规范化护理能系统改善脑梗塞患者的焦虑、抑郁情绪，促进身心整体康复，临床可操作性强，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具有一定的现实推广价值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。</w:t>
      </w:r>
    </w:p>
    <w:p w14:paraId="4E6A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t>参考文献：</w:t>
      </w:r>
    </w:p>
    <w:p w14:paraId="7FA58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[1] 丁秋红. 规范化护理用于脑梗塞患者护理中的效果及对焦虑,抑郁情绪的影响分析[C]//第九届全国康复与临床药学学术交流会议论文集. 2025:1-4.</w:t>
      </w:r>
    </w:p>
    <w:p w14:paraId="58E05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[2] 张雪莲. 规范化护理在脑梗塞患者护理中的效果及对焦虑,抑郁情绪的影响[J]. 黑龙江中医药,2025,54(1):246-247.</w:t>
      </w:r>
    </w:p>
    <w:p w14:paraId="7A0CE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[3] 杨俊霞. 规范化护理用于脑梗塞患者的临床评估[J]. 实用临床护理学电子杂志,2020,5(20):41.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D0744D"/>
    <w:rsid w:val="0C776A4C"/>
    <w:rsid w:val="0FD0744D"/>
    <w:rsid w:val="19F4792E"/>
    <w:rsid w:val="3E43724A"/>
    <w:rsid w:val="3F3B0FCC"/>
    <w:rsid w:val="4CFA26A0"/>
    <w:rsid w:val="4E3B44DF"/>
    <w:rsid w:val="51145BE4"/>
    <w:rsid w:val="66725C36"/>
    <w:rsid w:val="67A9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2156</Words>
  <Characters>2452</Characters>
  <Lines>0</Lines>
  <Paragraphs>0</Paragraphs>
  <TotalTime>0</TotalTime>
  <ScaleCrop>false</ScaleCrop>
  <LinksUpToDate>false</LinksUpToDate>
  <CharactersWithSpaces>2470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2026-04-25T02:57:00Z</dcterms:created>
  <dc:creator>WPS_1508303982</dc:creator>
  <cp:lastModifiedBy>小雪</cp:lastModifiedBy>
  <dcterms:modified xsi:type="dcterms:W3CDTF">2026-05-25T00:59:20Z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898884D867544FE895C9CA61E1559F92_11</vt:lpwstr>
  </property>
  <property fmtid="{D5CDD505-2E9C-101B-9397-08002B2CF9AE}" pid="4" name="KSOTemplateDocerSaveRecord">
    <vt:lpwstr>eyJoZGlkIjoiN2UwNTgzMjg0M2VmODk1NDA3OTI3ZTE2YmFmZDI1YmIiLCJ1c2VySWQiOiIxNjYxNzE1Njg2In0=</vt:lpwstr>
  </property>
</Properties>
</file>