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26FAE">
      <w:pPr>
        <w:keepNext w:val="0"/>
        <w:keepLines w:val="0"/>
        <w:pageBreakBefore w:val="0"/>
        <w:widowControl w:val="0"/>
        <w:kinsoku/>
        <w:wordWrap/>
        <w:overflowPunct/>
        <w:topLinePunct w:val="0"/>
        <w:autoSpaceDE/>
        <w:autoSpaceDN/>
        <w:bidi w:val="0"/>
        <w:adjustRightInd/>
        <w:snapToGrid/>
        <w:spacing w:after="120" w:afterLines="0" w:afterAutospacing="0" w:line="360" w:lineRule="auto"/>
        <w:jc w:val="center"/>
        <w:textAlignment w:val="auto"/>
        <w:rPr>
          <w:rFonts w:hint="default" w:ascii="Times New Roman" w:hAnsi="Times New Roman" w:eastAsia="黑体" w:cs="Times New Roman"/>
          <w:b/>
          <w:color w:val="auto"/>
          <w:kern w:val="2"/>
          <w:sz w:val="30"/>
          <w:szCs w:val="30"/>
          <w:lang w:val="en-US" w:eastAsia="zh-CN" w:bidi="ar-SA"/>
        </w:rPr>
      </w:pPr>
      <w:r>
        <w:rPr>
          <w:rFonts w:hint="default" w:ascii="Times New Roman" w:hAnsi="Times New Roman" w:eastAsia="黑体" w:cs="Times New Roman"/>
          <w:b/>
          <w:color w:val="auto"/>
          <w:kern w:val="2"/>
          <w:sz w:val="30"/>
          <w:szCs w:val="30"/>
          <w:lang w:val="en-US" w:eastAsia="zh-CN" w:bidi="ar-SA"/>
        </w:rPr>
        <w:t>PDSA在门诊患者</w:t>
      </w:r>
      <w:r>
        <w:rPr>
          <w:color w:val="auto"/>
        </w:rPr>
        <w:commentReference w:id="0"/>
      </w:r>
      <w:r>
        <w:rPr>
          <w:rFonts w:hint="eastAsia" w:eastAsia="黑体" w:cs="Times New Roman"/>
          <w:b/>
          <w:color w:val="auto"/>
          <w:kern w:val="2"/>
          <w:sz w:val="30"/>
          <w:szCs w:val="30"/>
          <w:lang w:val="en-US" w:eastAsia="zh-CN" w:bidi="ar-SA"/>
        </w:rPr>
        <w:t>非药物疗法比例</w:t>
      </w:r>
      <w:r>
        <w:rPr>
          <w:rFonts w:hint="default" w:ascii="Times New Roman" w:hAnsi="Times New Roman" w:eastAsia="黑体" w:cs="Times New Roman"/>
          <w:b/>
          <w:color w:val="auto"/>
          <w:kern w:val="2"/>
          <w:sz w:val="30"/>
          <w:szCs w:val="30"/>
          <w:lang w:val="en-US" w:eastAsia="zh-CN" w:bidi="ar-SA"/>
        </w:rPr>
        <w:t>中的管理应用</w:t>
      </w:r>
    </w:p>
    <w:p w14:paraId="03FE4AF1">
      <w:pPr>
        <w:keepNext w:val="0"/>
        <w:keepLines w:val="0"/>
        <w:pageBreakBefore w:val="0"/>
        <w:widowControl w:val="0"/>
        <w:kinsoku/>
        <w:wordWrap/>
        <w:overflowPunct/>
        <w:topLinePunct w:val="0"/>
        <w:autoSpaceDE/>
        <w:autoSpaceDN/>
        <w:bidi w:val="0"/>
        <w:adjustRightInd/>
        <w:snapToGrid/>
        <w:spacing w:after="120" w:afterLines="0" w:afterAutospacing="0" w:line="360" w:lineRule="auto"/>
        <w:jc w:val="center"/>
        <w:textAlignment w:val="auto"/>
        <w:rPr>
          <w:rFonts w:hint="default" w:ascii="Times New Roman" w:hAnsi="Times New Roman" w:eastAsia="黑体" w:cs="Times New Roman"/>
          <w:b/>
          <w:color w:val="auto"/>
          <w:kern w:val="2"/>
          <w:sz w:val="30"/>
          <w:szCs w:val="30"/>
          <w:lang w:val="en-US" w:eastAsia="zh-CN" w:bidi="ar-SA"/>
        </w:rPr>
      </w:pPr>
      <w:r>
        <w:rPr>
          <w:rFonts w:hint="default" w:ascii="Times New Roman" w:hAnsi="Times New Roman" w:eastAsia="黑体" w:cs="Times New Roman"/>
          <w:b/>
          <w:color w:val="auto"/>
          <w:kern w:val="2"/>
          <w:sz w:val="30"/>
          <w:szCs w:val="30"/>
          <w:lang w:val="en-US" w:eastAsia="zh-CN" w:bidi="ar-SA"/>
        </w:rPr>
        <w:t>范柳霞</w:t>
      </w:r>
      <w:r>
        <w:rPr>
          <w:rFonts w:hint="eastAsia" w:eastAsia="黑体" w:cs="Times New Roman"/>
          <w:b/>
          <w:color w:val="auto"/>
          <w:kern w:val="2"/>
          <w:sz w:val="30"/>
          <w:szCs w:val="30"/>
          <w:lang w:val="en-US" w:eastAsia="zh-CN" w:bidi="ar-SA"/>
        </w:rPr>
        <w:t xml:space="preserve"> </w:t>
      </w:r>
      <w:r>
        <w:rPr>
          <w:rFonts w:hint="default" w:ascii="Times New Roman" w:hAnsi="Times New Roman" w:eastAsia="黑体" w:cs="Times New Roman"/>
          <w:b/>
          <w:color w:val="auto"/>
          <w:kern w:val="2"/>
          <w:sz w:val="30"/>
          <w:szCs w:val="30"/>
          <w:lang w:val="en-US" w:eastAsia="zh-CN" w:bidi="ar-SA"/>
        </w:rPr>
        <w:t>广西国际壮医医院</w:t>
      </w:r>
      <w:r>
        <w:rPr>
          <w:rFonts w:hint="eastAsia" w:eastAsia="黑体" w:cs="Times New Roman"/>
          <w:b/>
          <w:color w:val="auto"/>
          <w:kern w:val="2"/>
          <w:sz w:val="30"/>
          <w:szCs w:val="30"/>
          <w:lang w:val="en-US" w:eastAsia="zh-CN" w:bidi="ar-SA"/>
        </w:rPr>
        <w:t xml:space="preserve"> </w:t>
      </w:r>
      <w:r>
        <w:rPr>
          <w:rFonts w:hint="default" w:ascii="Times New Roman" w:hAnsi="Times New Roman" w:eastAsia="黑体" w:cs="Times New Roman"/>
          <w:b/>
          <w:color w:val="auto"/>
          <w:kern w:val="2"/>
          <w:sz w:val="30"/>
          <w:szCs w:val="30"/>
          <w:lang w:val="en-US" w:eastAsia="zh-CN" w:bidi="ar-SA"/>
        </w:rPr>
        <w:t>530200</w:t>
      </w:r>
    </w:p>
    <w:p w14:paraId="45AF430C">
      <w:pPr>
        <w:keepNext w:val="0"/>
        <w:keepLines w:val="0"/>
        <w:pageBreakBefore w:val="0"/>
        <w:widowControl w:val="0"/>
        <w:kinsoku/>
        <w:wordWrap/>
        <w:overflowPunct/>
        <w:topLinePunct w:val="0"/>
        <w:autoSpaceDE/>
        <w:autoSpaceDN/>
        <w:bidi w:val="0"/>
        <w:adjustRightInd/>
        <w:snapToGrid/>
        <w:spacing w:after="120" w:afterLines="0" w:afterAutospacing="0" w:line="360" w:lineRule="auto"/>
        <w:jc w:val="center"/>
        <w:textAlignment w:val="auto"/>
        <w:rPr>
          <w:rFonts w:hint="default" w:ascii="Times New Roman" w:hAnsi="Times New Roman" w:eastAsia="黑体" w:cs="Times New Roman"/>
          <w:b/>
          <w:color w:val="auto"/>
          <w:kern w:val="2"/>
          <w:sz w:val="30"/>
          <w:szCs w:val="30"/>
          <w:lang w:val="en-US" w:eastAsia="zh-CN" w:bidi="ar-SA"/>
        </w:rPr>
      </w:pPr>
      <w:r>
        <w:rPr>
          <w:rFonts w:hint="default" w:ascii="Times New Roman" w:hAnsi="Times New Roman" w:eastAsia="黑体" w:cs="Times New Roman"/>
          <w:b/>
          <w:color w:val="auto"/>
          <w:kern w:val="2"/>
          <w:sz w:val="30"/>
          <w:szCs w:val="30"/>
          <w:lang w:val="en-US" w:eastAsia="zh-CN" w:bidi="ar-SA"/>
        </w:rPr>
        <w:t>课题名称：PDSA质量管理工具在提高门诊患者壮瑶医非药物疗法比例中的应用研究</w:t>
      </w:r>
    </w:p>
    <w:p w14:paraId="228698EB">
      <w:pPr>
        <w:keepNext w:val="0"/>
        <w:keepLines w:val="0"/>
        <w:pageBreakBefore w:val="0"/>
        <w:widowControl w:val="0"/>
        <w:kinsoku/>
        <w:wordWrap/>
        <w:overflowPunct/>
        <w:topLinePunct w:val="0"/>
        <w:autoSpaceDE/>
        <w:autoSpaceDN/>
        <w:bidi w:val="0"/>
        <w:adjustRightInd/>
        <w:snapToGrid/>
        <w:spacing w:after="120" w:afterLines="0" w:afterAutospacing="0" w:line="360" w:lineRule="auto"/>
        <w:jc w:val="center"/>
        <w:textAlignment w:val="auto"/>
        <w:rPr>
          <w:rFonts w:hint="default" w:ascii="Times New Roman" w:hAnsi="Times New Roman" w:eastAsia="黑体" w:cs="Times New Roman"/>
          <w:b/>
          <w:color w:val="auto"/>
          <w:kern w:val="2"/>
          <w:sz w:val="30"/>
          <w:szCs w:val="30"/>
          <w:lang w:val="en-US" w:eastAsia="zh-CN" w:bidi="ar-SA"/>
        </w:rPr>
      </w:pPr>
      <w:r>
        <w:rPr>
          <w:rFonts w:hint="default" w:ascii="Times New Roman" w:hAnsi="Times New Roman" w:eastAsia="黑体" w:cs="Times New Roman"/>
          <w:b/>
          <w:color w:val="auto"/>
          <w:kern w:val="2"/>
          <w:sz w:val="30"/>
          <w:szCs w:val="30"/>
          <w:lang w:val="en-US" w:eastAsia="zh-CN" w:bidi="ar-SA"/>
        </w:rPr>
        <w:t>编号：GXZYA20220137</w:t>
      </w:r>
      <w:bookmarkStart w:id="0" w:name="_GoBack"/>
      <w:bookmarkEnd w:id="0"/>
    </w:p>
    <w:p w14:paraId="70D7D4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1"/>
          <w:lang w:val="en-US" w:eastAsia="zh-CN" w:bidi="ar-SA"/>
        </w:rPr>
      </w:pPr>
      <w:r>
        <w:rPr>
          <w:rFonts w:hint="default" w:ascii="Times New Roman" w:hAnsi="Times New Roman" w:eastAsia="宋体" w:cs="Times New Roman"/>
          <w:color w:val="auto"/>
          <w:kern w:val="2"/>
          <w:szCs w:val="21"/>
          <w:lang w:val="en-US" w:eastAsia="zh-CN" w:bidi="ar-SA"/>
        </w:rPr>
        <w:t xml:space="preserve">【摘要】 </w:t>
      </w:r>
      <w:r>
        <w:rPr>
          <w:rFonts w:hint="default" w:ascii="Times New Roman" w:hAnsi="Times New Roman" w:eastAsia="宋体" w:cs="Times New Roman"/>
          <w:b/>
          <w:color w:val="auto"/>
          <w:kern w:val="2"/>
          <w:szCs w:val="21"/>
          <w:lang w:val="en-US" w:eastAsia="zh-CN" w:bidi="ar-SA"/>
        </w:rPr>
        <w:t>目的</w:t>
      </w:r>
      <w:r>
        <w:rPr>
          <w:rFonts w:hint="default" w:ascii="Times New Roman" w:hAnsi="Times New Roman" w:eastAsia="宋体" w:cs="Times New Roman"/>
          <w:color w:val="auto"/>
          <w:kern w:val="2"/>
          <w:szCs w:val="21"/>
          <w:lang w:val="en-US" w:eastAsia="zh-CN" w:bidi="ar-SA"/>
        </w:rPr>
        <w:t xml:space="preserve"> </w:t>
      </w:r>
      <w:r>
        <w:rPr>
          <w:rFonts w:hint="default" w:ascii="Times New Roman" w:hAnsi="Times New Roman" w:cs="Times New Roman"/>
          <w:color w:val="auto"/>
          <w:kern w:val="2"/>
          <w:szCs w:val="21"/>
          <w:lang w:val="en-US" w:eastAsia="zh-CN" w:bidi="ar-SA"/>
        </w:rPr>
        <w:t>探讨计划-执行-研究-行动（PDSA）管理对门诊患者</w:t>
      </w:r>
      <w:r>
        <w:commentReference w:id="1"/>
      </w:r>
      <w:r>
        <w:rPr>
          <w:rFonts w:hint="eastAsia" w:cs="Times New Roman"/>
          <w:color w:val="0000FF"/>
          <w:kern w:val="2"/>
          <w:szCs w:val="21"/>
          <w:lang w:val="en-US" w:eastAsia="zh-CN" w:bidi="ar-SA"/>
        </w:rPr>
        <w:t>壮瑶医非药物疗法比例</w:t>
      </w:r>
      <w:r>
        <w:rPr>
          <w:rFonts w:hint="default" w:ascii="Times New Roman" w:hAnsi="Times New Roman" w:cs="Times New Roman"/>
          <w:color w:val="auto"/>
          <w:kern w:val="2"/>
          <w:szCs w:val="21"/>
          <w:lang w:val="en-US" w:eastAsia="zh-CN" w:bidi="ar-SA"/>
        </w:rPr>
        <w:t>的影响效果。</w:t>
      </w:r>
      <w:r>
        <w:rPr>
          <w:rFonts w:hint="default" w:ascii="Times New Roman" w:hAnsi="Times New Roman" w:eastAsia="宋体" w:cs="Times New Roman"/>
          <w:color w:val="auto"/>
          <w:kern w:val="2"/>
          <w:szCs w:val="21"/>
          <w:lang w:val="en-US" w:eastAsia="zh-CN" w:bidi="ar-SA"/>
        </w:rPr>
        <w:t xml:space="preserve"> </w:t>
      </w:r>
      <w:r>
        <w:rPr>
          <w:rFonts w:hint="default" w:ascii="Times New Roman" w:hAnsi="Times New Roman" w:eastAsia="宋体" w:cs="Times New Roman"/>
          <w:b/>
          <w:color w:val="auto"/>
          <w:kern w:val="2"/>
          <w:szCs w:val="21"/>
          <w:lang w:val="en-US" w:eastAsia="zh-CN" w:bidi="ar-SA"/>
        </w:rPr>
        <w:t>方法</w:t>
      </w:r>
      <w:r>
        <w:rPr>
          <w:rFonts w:hint="default" w:ascii="Times New Roman" w:hAnsi="Times New Roman" w:eastAsia="宋体" w:cs="Times New Roman"/>
          <w:color w:val="auto"/>
          <w:kern w:val="2"/>
          <w:szCs w:val="21"/>
          <w:lang w:val="en-US" w:eastAsia="zh-CN" w:bidi="ar-SA"/>
        </w:rPr>
        <w:t xml:space="preserve">  </w:t>
      </w:r>
      <w:r>
        <w:rPr>
          <w:rFonts w:hint="default" w:ascii="Times New Roman" w:hAnsi="Times New Roman" w:cs="Times New Roman"/>
          <w:color w:val="auto"/>
          <w:kern w:val="2"/>
          <w:sz w:val="21"/>
          <w:szCs w:val="21"/>
          <w:lang w:val="en-US" w:eastAsia="zh-CN" w:bidi="ar-SA"/>
        </w:rPr>
        <w:t>选择广西国际壮医医院2024年1月~12月就诊的251例门诊患者为研究对象，根据管理实施前后分为对照组（n=126，2024年1月~6月</w:t>
      </w:r>
      <w:r>
        <w:rPr>
          <w:rFonts w:hint="eastAsia" w:ascii="Times New Roman" w:hAnsi="Times New Roman"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常规门诊管理</w:t>
      </w:r>
      <w:r>
        <w:rPr>
          <w:rFonts w:hint="default" w:ascii="Times New Roman" w:hAnsi="Times New Roman" w:cs="Times New Roman"/>
          <w:color w:val="auto"/>
          <w:kern w:val="2"/>
          <w:sz w:val="21"/>
          <w:szCs w:val="21"/>
          <w:lang w:val="en-US" w:eastAsia="zh-CN" w:bidi="ar-SA"/>
        </w:rPr>
        <w:t>）、观察组（n=125，2024年7月~12月</w:t>
      </w:r>
      <w:r>
        <w:rPr>
          <w:rFonts w:hint="eastAsia" w:ascii="Times New Roman" w:hAnsi="Times New Roman" w:cs="Times New Roman"/>
          <w:color w:val="auto"/>
          <w:kern w:val="2"/>
          <w:sz w:val="21"/>
          <w:szCs w:val="21"/>
          <w:lang w:val="en-US" w:eastAsia="zh-CN" w:bidi="ar-SA"/>
        </w:rPr>
        <w:t>，</w:t>
      </w:r>
      <w:r>
        <w:rPr>
          <w:rFonts w:hint="default" w:ascii="Times New Roman" w:hAnsi="Times New Roman" w:cs="Times New Roman"/>
          <w:color w:val="auto"/>
          <w:kern w:val="2"/>
          <w:sz w:val="21"/>
          <w:szCs w:val="21"/>
          <w:lang w:val="en-US" w:eastAsia="zh-CN" w:bidi="ar-SA"/>
        </w:rPr>
        <w:t>实施PDSA管理）。</w:t>
      </w:r>
      <w:r>
        <w:rPr>
          <w:rFonts w:hint="eastAsia" w:ascii="Times New Roman" w:hAnsi="Times New Roman" w:cs="Times New Roman"/>
          <w:color w:val="auto"/>
          <w:kern w:val="2"/>
          <w:sz w:val="21"/>
          <w:szCs w:val="21"/>
          <w:lang w:val="en-US" w:eastAsia="zh-CN" w:bidi="ar-SA"/>
        </w:rPr>
        <w:t>比较两组</w:t>
      </w:r>
      <w:r>
        <w:commentReference w:id="2"/>
      </w:r>
      <w:r>
        <w:rPr>
          <w:rFonts w:hint="eastAsia" w:cs="Times New Roman"/>
          <w:color w:val="0000FF"/>
          <w:kern w:val="2"/>
          <w:sz w:val="21"/>
          <w:szCs w:val="21"/>
          <w:lang w:val="en-US" w:eastAsia="zh-CN" w:bidi="ar-SA"/>
        </w:rPr>
        <w:t>壮瑶医非药物疗法比例</w:t>
      </w:r>
      <w:r>
        <w:rPr>
          <w:rFonts w:hint="eastAsia" w:ascii="Times New Roman" w:hAnsi="Times New Roman" w:cs="Times New Roman"/>
          <w:color w:val="auto"/>
          <w:kern w:val="2"/>
          <w:sz w:val="21"/>
          <w:szCs w:val="21"/>
          <w:lang w:val="en-US" w:eastAsia="zh-CN" w:bidi="ar-SA"/>
        </w:rPr>
        <w:t>、</w:t>
      </w:r>
      <w:r>
        <w:rPr>
          <w:rFonts w:hint="default" w:ascii="Times New Roman" w:hAnsi="Times New Roman" w:cs="Times New Roman"/>
          <w:color w:val="auto"/>
          <w:kern w:val="2"/>
          <w:sz w:val="21"/>
          <w:szCs w:val="21"/>
          <w:lang w:val="en-US" w:eastAsia="zh-CN" w:bidi="ar-SA"/>
        </w:rPr>
        <w:t>患者安全文化</w:t>
      </w:r>
      <w:r>
        <w:rPr>
          <w:rFonts w:hint="eastAsia" w:ascii="Times New Roman" w:hAnsi="Times New Roman" w:cs="Times New Roman"/>
          <w:color w:val="auto"/>
          <w:kern w:val="2"/>
          <w:sz w:val="21"/>
          <w:szCs w:val="21"/>
          <w:lang w:val="en-US" w:eastAsia="zh-CN" w:bidi="ar-SA"/>
        </w:rPr>
        <w:t>[</w:t>
      </w:r>
      <w:r>
        <w:rPr>
          <w:rFonts w:hint="default" w:ascii="Times New Roman" w:hAnsi="Times New Roman" w:cs="Times New Roman"/>
          <w:color w:val="auto"/>
          <w:kern w:val="2"/>
          <w:sz w:val="21"/>
          <w:szCs w:val="21"/>
          <w:lang w:val="en-US" w:eastAsia="zh-CN" w:bidi="ar-SA"/>
        </w:rPr>
        <w:t>汉化版门诊患者安全文化调查问卷（MOSPSC</w:t>
      </w:r>
      <w:r>
        <w:rPr>
          <w:rFonts w:hint="eastAsia" w:ascii="Times New Roman" w:hAnsi="Times New Roman" w:cs="Times New Roman"/>
          <w:color w:val="auto"/>
          <w:kern w:val="2"/>
          <w:sz w:val="21"/>
          <w:szCs w:val="21"/>
          <w:lang w:val="en-US" w:eastAsia="zh-CN" w:bidi="ar-SA"/>
        </w:rPr>
        <w:t>）]、</w:t>
      </w:r>
      <w:r>
        <w:rPr>
          <w:rFonts w:hint="default" w:ascii="Times New Roman" w:hAnsi="Times New Roman" w:cs="Times New Roman"/>
          <w:color w:val="auto"/>
          <w:kern w:val="2"/>
          <w:sz w:val="21"/>
          <w:szCs w:val="21"/>
          <w:lang w:val="en-US" w:eastAsia="zh-CN" w:bidi="ar-SA"/>
        </w:rPr>
        <w:t>患者满意度</w:t>
      </w:r>
      <w:r>
        <w:rPr>
          <w:rFonts w:hint="eastAsia" w:ascii="Times New Roman" w:hAnsi="Times New Roman" w:cs="Times New Roman"/>
          <w:color w:val="auto"/>
          <w:kern w:val="2"/>
          <w:sz w:val="21"/>
          <w:szCs w:val="21"/>
          <w:lang w:val="en-US" w:eastAsia="zh-CN" w:bidi="ar-SA"/>
        </w:rPr>
        <w:t>。</w:t>
      </w:r>
      <w:r>
        <w:rPr>
          <w:rFonts w:hint="default" w:ascii="Times New Roman" w:hAnsi="Times New Roman" w:eastAsia="宋体" w:cs="Times New Roman"/>
          <w:b/>
          <w:color w:val="auto"/>
          <w:kern w:val="2"/>
          <w:szCs w:val="21"/>
          <w:lang w:val="en-US" w:eastAsia="zh-CN" w:bidi="ar-SA"/>
        </w:rPr>
        <w:t>结果</w:t>
      </w:r>
      <w:r>
        <w:rPr>
          <w:rFonts w:hint="default" w:ascii="Times New Roman" w:hAnsi="Times New Roman" w:eastAsia="宋体" w:cs="Times New Roman"/>
          <w:color w:val="auto"/>
          <w:kern w:val="2"/>
          <w:szCs w:val="21"/>
          <w:lang w:val="en-US" w:eastAsia="zh-CN" w:bidi="ar-SA"/>
        </w:rPr>
        <w:t xml:space="preserve"> </w:t>
      </w:r>
      <w:r>
        <w:rPr>
          <w:rFonts w:hint="default" w:ascii="Times New Roman" w:hAnsi="Times New Roman" w:cs="Times New Roman"/>
          <w:color w:val="auto"/>
          <w:kern w:val="2"/>
          <w:sz w:val="21"/>
          <w:szCs w:val="21"/>
          <w:lang w:val="en-US" w:eastAsia="zh-CN" w:bidi="ar-SA"/>
        </w:rPr>
        <w:t>观察组</w:t>
      </w:r>
      <w:r>
        <w:commentReference w:id="3"/>
      </w:r>
      <w:r>
        <w:rPr>
          <w:rFonts w:hint="eastAsia" w:cs="Times New Roman"/>
          <w:color w:val="0000FF"/>
          <w:kern w:val="2"/>
          <w:sz w:val="21"/>
          <w:szCs w:val="21"/>
          <w:lang w:val="en-US" w:eastAsia="zh-CN" w:bidi="ar-SA"/>
        </w:rPr>
        <w:t>壮瑶医</w:t>
      </w:r>
      <w:r>
        <w:rPr>
          <w:rFonts w:hint="default" w:ascii="Times New Roman" w:hAnsi="Times New Roman" w:cs="Times New Roman"/>
          <w:color w:val="auto"/>
          <w:kern w:val="2"/>
          <w:sz w:val="21"/>
          <w:szCs w:val="21"/>
          <w:lang w:val="en-US" w:eastAsia="zh-CN" w:bidi="ar-SA"/>
        </w:rPr>
        <w:t>非药物疗法</w:t>
      </w:r>
      <w:r>
        <w:rPr>
          <w:rFonts w:hint="eastAsia" w:cs="Times New Roman"/>
          <w:color w:val="auto"/>
          <w:kern w:val="2"/>
          <w:sz w:val="21"/>
          <w:szCs w:val="21"/>
          <w:lang w:val="en-US" w:eastAsia="zh-CN" w:bidi="ar-SA"/>
        </w:rPr>
        <w:t>使用率52.00%（65/125）高于对照组</w:t>
      </w:r>
      <w:r>
        <w:rPr>
          <w:rFonts w:hint="default" w:ascii="Times New Roman" w:hAnsi="Times New Roman" w:cs="Times New Roman"/>
          <w:color w:val="auto"/>
          <w:sz w:val="21"/>
          <w:szCs w:val="21"/>
          <w:highlight w:val="none"/>
          <w:lang w:val="en-US" w:eastAsia="zh-CN"/>
        </w:rPr>
        <w:t>38.89</w:t>
      </w:r>
      <w:r>
        <w:rPr>
          <w:rFonts w:hint="eastAsia" w:cs="Times New Roman"/>
          <w:color w:val="auto"/>
          <w:sz w:val="21"/>
          <w:szCs w:val="21"/>
          <w:highlight w:val="none"/>
          <w:lang w:val="en-US" w:eastAsia="zh-CN"/>
        </w:rPr>
        <w:t>%</w:t>
      </w:r>
      <w:r>
        <w:rPr>
          <w:rFonts w:hint="eastAsia" w:cs="Times New Roman"/>
          <w:color w:val="auto"/>
          <w:kern w:val="2"/>
          <w:sz w:val="21"/>
          <w:szCs w:val="21"/>
          <w:lang w:val="en-US" w:eastAsia="zh-CN" w:bidi="ar-SA"/>
        </w:rPr>
        <w:t>（49/126）（</w:t>
      </w:r>
      <w:r>
        <w:rPr>
          <w:rFonts w:hint="default" w:ascii="Times New Roman" w:hAnsi="Times New Roman" w:eastAsia="宋体" w:cs="Times New Roman"/>
          <w:i/>
          <w:iCs w:val="0"/>
          <w:color w:val="auto"/>
          <w:kern w:val="2"/>
          <w:szCs w:val="21"/>
          <w:lang w:val="en-US" w:eastAsia="zh-CN" w:bidi="ar-SA"/>
        </w:rPr>
        <w:t>χ</w:t>
      </w:r>
      <w:r>
        <w:rPr>
          <w:rFonts w:hint="default" w:ascii="Times New Roman" w:hAnsi="Times New Roman" w:eastAsia="宋体" w:cs="Times New Roman"/>
          <w:i/>
          <w:iCs w:val="0"/>
          <w:color w:val="auto"/>
          <w:kern w:val="2"/>
          <w:szCs w:val="21"/>
          <w:vertAlign w:val="superscript"/>
          <w:lang w:val="en-US" w:eastAsia="zh-CN" w:bidi="ar-SA"/>
        </w:rPr>
        <w:t>2</w:t>
      </w:r>
      <w:r>
        <w:rPr>
          <w:rFonts w:hint="eastAsia" w:cs="Times New Roman"/>
          <w:color w:val="auto"/>
          <w:kern w:val="2"/>
          <w:sz w:val="21"/>
          <w:szCs w:val="21"/>
          <w:lang w:val="en-US" w:eastAsia="zh-CN" w:bidi="ar-SA"/>
        </w:rPr>
        <w:t>=</w:t>
      </w:r>
      <w:r>
        <w:rPr>
          <w:rFonts w:hint="default" w:ascii="Times New Roman" w:hAnsi="Times New Roman" w:cs="Times New Roman"/>
          <w:color w:val="auto"/>
          <w:sz w:val="21"/>
          <w:szCs w:val="21"/>
          <w:highlight w:val="none"/>
          <w:lang w:val="en-US" w:eastAsia="zh-CN"/>
        </w:rPr>
        <w:t>4.351</w:t>
      </w:r>
      <w:r>
        <w:rPr>
          <w:rFonts w:hint="eastAsia"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w:t>
      </w:r>
      <w:r>
        <w:rPr>
          <w:rFonts w:hint="eastAsia" w:cs="Times New Roman"/>
          <w:color w:val="auto"/>
          <w:kern w:val="2"/>
          <w:sz w:val="21"/>
          <w:szCs w:val="21"/>
          <w:lang w:val="en-US" w:eastAsia="zh-CN" w:bidi="ar-SA"/>
        </w:rPr>
        <w:t>）。</w:t>
      </w:r>
      <w:r>
        <w:rPr>
          <w:rFonts w:hint="eastAsia" w:cs="Times New Roman"/>
          <w:b w:val="0"/>
          <w:bCs/>
          <w:color w:val="auto"/>
          <w:kern w:val="2"/>
          <w:szCs w:val="21"/>
          <w:lang w:val="en-US" w:eastAsia="zh-CN" w:bidi="ar-SA"/>
        </w:rPr>
        <w:t>观察组各项患者安全度评分均高于对照组</w:t>
      </w:r>
      <w:r>
        <w:rPr>
          <w:rFonts w:hint="default"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w:t>
      </w:r>
      <w:r>
        <w:rPr>
          <w:rFonts w:hint="eastAsia" w:cs="Times New Roman"/>
          <w:color w:val="auto"/>
          <w:kern w:val="2"/>
          <w:sz w:val="21"/>
          <w:szCs w:val="21"/>
          <w:lang w:val="en-US" w:eastAsia="zh-CN" w:bidi="ar-SA"/>
        </w:rPr>
        <w:t>。</w:t>
      </w:r>
      <w:r>
        <w:rPr>
          <w:rFonts w:hint="eastAsia" w:cs="Times New Roman"/>
          <w:b w:val="0"/>
          <w:bCs/>
          <w:color w:val="auto"/>
          <w:kern w:val="2"/>
          <w:szCs w:val="21"/>
          <w:lang w:val="en-US" w:eastAsia="zh-CN" w:bidi="ar-SA"/>
        </w:rPr>
        <w:t>观察组门诊患者各项满意度评分均高于对照组</w:t>
      </w:r>
      <w:r>
        <w:rPr>
          <w:rFonts w:hint="default"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w:t>
      </w:r>
      <w:r>
        <w:rPr>
          <w:rFonts w:hint="eastAsia" w:cs="Times New Roman"/>
          <w:color w:val="auto"/>
          <w:kern w:val="2"/>
          <w:sz w:val="21"/>
          <w:szCs w:val="21"/>
          <w:lang w:val="en-US" w:eastAsia="zh-CN" w:bidi="ar-SA"/>
        </w:rPr>
        <w:t>。</w:t>
      </w:r>
      <w:r>
        <w:rPr>
          <w:rFonts w:hint="default" w:ascii="Times New Roman" w:hAnsi="Times New Roman" w:eastAsia="宋体" w:cs="Times New Roman"/>
          <w:b/>
          <w:color w:val="auto"/>
          <w:kern w:val="2"/>
          <w:szCs w:val="21"/>
          <w:lang w:val="en-US" w:eastAsia="zh-CN" w:bidi="ar-SA"/>
        </w:rPr>
        <w:t>结论</w:t>
      </w:r>
      <w:r>
        <w:rPr>
          <w:rFonts w:hint="default" w:ascii="Times New Roman" w:hAnsi="Times New Roman" w:eastAsia="宋体" w:cs="Times New Roman"/>
          <w:color w:val="auto"/>
          <w:kern w:val="2"/>
          <w:szCs w:val="21"/>
          <w:lang w:val="en-US" w:eastAsia="zh-CN" w:bidi="ar-SA"/>
        </w:rPr>
        <w:t xml:space="preserve">  PDSA</w:t>
      </w:r>
      <w:r>
        <w:rPr>
          <w:rFonts w:hint="eastAsia" w:ascii="Times New Roman" w:hAnsi="Times New Roman" w:cs="Times New Roman"/>
          <w:color w:val="auto"/>
          <w:kern w:val="2"/>
          <w:szCs w:val="21"/>
          <w:lang w:val="en-US" w:eastAsia="zh-CN" w:bidi="ar-SA"/>
        </w:rPr>
        <w:t>应用于门诊患者管理中成效显著，可提高</w:t>
      </w:r>
      <w:r>
        <w:commentReference w:id="4"/>
      </w:r>
      <w:r>
        <w:rPr>
          <w:rFonts w:hint="eastAsia" w:cs="Times New Roman"/>
          <w:color w:val="0000FF"/>
          <w:kern w:val="2"/>
          <w:szCs w:val="21"/>
          <w:lang w:val="en-US" w:eastAsia="zh-CN" w:bidi="ar-SA"/>
        </w:rPr>
        <w:t>壮瑶医非药物疗法比例</w:t>
      </w:r>
      <w:r>
        <w:rPr>
          <w:rFonts w:hint="eastAsia" w:ascii="Times New Roman" w:hAnsi="Times New Roman" w:cs="Times New Roman"/>
          <w:color w:val="auto"/>
          <w:kern w:val="2"/>
          <w:szCs w:val="21"/>
          <w:lang w:val="en-US" w:eastAsia="zh-CN" w:bidi="ar-SA"/>
        </w:rPr>
        <w:t>，促进患者安全及满意度评价。</w:t>
      </w:r>
    </w:p>
    <w:p w14:paraId="53722FE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kern w:val="2"/>
          <w:szCs w:val="21"/>
          <w:lang w:val="en-US" w:eastAsia="zh-CN" w:bidi="ar-SA"/>
        </w:rPr>
      </w:pPr>
      <w:r>
        <w:rPr>
          <w:rFonts w:hint="default" w:ascii="Times New Roman" w:hAnsi="Times New Roman" w:eastAsia="宋体" w:cs="Times New Roman"/>
          <w:color w:val="auto"/>
          <w:kern w:val="2"/>
          <w:szCs w:val="21"/>
          <w:lang w:val="en-US" w:eastAsia="zh-CN" w:bidi="ar-SA"/>
        </w:rPr>
        <w:t>【关键词】门诊；</w:t>
      </w:r>
      <w:r>
        <w:rPr>
          <w:rFonts w:hint="default" w:ascii="Times New Roman" w:hAnsi="Times New Roman" w:cs="Times New Roman"/>
          <w:color w:val="auto"/>
          <w:kern w:val="2"/>
          <w:szCs w:val="21"/>
          <w:lang w:val="en-US" w:eastAsia="zh-CN" w:bidi="ar-SA"/>
        </w:rPr>
        <w:t>PDSA管理</w:t>
      </w:r>
      <w:r>
        <w:rPr>
          <w:rFonts w:hint="default" w:ascii="Times New Roman" w:hAnsi="Times New Roman" w:eastAsia="宋体" w:cs="Times New Roman"/>
          <w:color w:val="auto"/>
          <w:kern w:val="2"/>
          <w:szCs w:val="21"/>
          <w:lang w:val="en-US" w:eastAsia="zh-CN" w:bidi="ar-SA"/>
        </w:rPr>
        <w:t>；</w:t>
      </w:r>
      <w:r>
        <w:rPr>
          <w:rFonts w:hint="default" w:ascii="Times New Roman" w:hAnsi="Times New Roman" w:eastAsia="宋体" w:cs="Times New Roman"/>
          <w:color w:val="0000FF"/>
          <w:kern w:val="2"/>
          <w:szCs w:val="21"/>
          <w:lang w:val="en-US" w:eastAsia="zh-CN" w:bidi="ar-SA"/>
        </w:rPr>
        <w:t>壮瑶医</w:t>
      </w:r>
      <w:r>
        <w:rPr>
          <w:color w:val="0000FF"/>
        </w:rPr>
        <w:commentReference w:id="5"/>
      </w:r>
      <w:r>
        <w:rPr>
          <w:rFonts w:hint="eastAsia" w:cs="Times New Roman"/>
          <w:color w:val="0000FF"/>
          <w:kern w:val="2"/>
          <w:szCs w:val="21"/>
          <w:lang w:val="en-US" w:eastAsia="zh-CN" w:bidi="ar-SA"/>
        </w:rPr>
        <w:t>；</w:t>
      </w:r>
      <w:r>
        <w:rPr>
          <w:rFonts w:hint="default" w:ascii="Times New Roman" w:hAnsi="Times New Roman" w:eastAsia="宋体" w:cs="Times New Roman"/>
          <w:color w:val="auto"/>
          <w:kern w:val="2"/>
          <w:szCs w:val="21"/>
          <w:lang w:val="en-US" w:eastAsia="zh-CN" w:bidi="ar-SA"/>
        </w:rPr>
        <w:t>非药物疗法；</w:t>
      </w:r>
      <w:r>
        <w:rPr>
          <w:rFonts w:hint="default" w:ascii="Times New Roman" w:hAnsi="Times New Roman" w:cs="Times New Roman"/>
          <w:color w:val="auto"/>
          <w:kern w:val="2"/>
          <w:szCs w:val="21"/>
          <w:lang w:val="en-US" w:eastAsia="zh-CN" w:bidi="ar-SA"/>
        </w:rPr>
        <w:t>患者满意度</w:t>
      </w:r>
    </w:p>
    <w:p w14:paraId="506DBA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kern w:val="2"/>
          <w:szCs w:val="21"/>
          <w:lang w:val="en-US" w:eastAsia="zh-CN" w:bidi="ar-SA"/>
        </w:rPr>
      </w:pPr>
      <w:r>
        <w:rPr>
          <w:rFonts w:hint="default" w:ascii="Times New Roman" w:hAnsi="Times New Roman" w:cs="Times New Roman"/>
          <w:color w:val="auto"/>
          <w:kern w:val="2"/>
          <w:szCs w:val="21"/>
          <w:lang w:val="en-US" w:eastAsia="zh-CN" w:bidi="ar-SA"/>
        </w:rPr>
        <w:t>壮瑶医</w:t>
      </w:r>
      <w:r>
        <w:rPr>
          <w:rFonts w:hint="eastAsia" w:ascii="Times New Roman" w:hAnsi="Times New Roman" w:cs="Times New Roman"/>
          <w:color w:val="auto"/>
          <w:kern w:val="2"/>
          <w:szCs w:val="21"/>
          <w:lang w:val="en-US" w:eastAsia="zh-CN" w:bidi="ar-SA"/>
        </w:rPr>
        <w:t>为</w:t>
      </w:r>
      <w:r>
        <w:rPr>
          <w:rFonts w:hint="default" w:ascii="Times New Roman" w:hAnsi="Times New Roman" w:cs="Times New Roman"/>
          <w:color w:val="auto"/>
          <w:kern w:val="2"/>
          <w:szCs w:val="21"/>
          <w:lang w:val="en-US" w:eastAsia="zh-CN" w:bidi="ar-SA"/>
        </w:rPr>
        <w:t>我国</w:t>
      </w:r>
      <w:r>
        <w:rPr>
          <w:rFonts w:hint="eastAsia" w:ascii="Times New Roman" w:hAnsi="Times New Roman" w:cs="Times New Roman"/>
          <w:color w:val="auto"/>
          <w:kern w:val="2"/>
          <w:szCs w:val="21"/>
          <w:lang w:val="en-US" w:eastAsia="zh-CN" w:bidi="ar-SA"/>
        </w:rPr>
        <w:t>重要</w:t>
      </w:r>
      <w:r>
        <w:rPr>
          <w:rFonts w:hint="default" w:ascii="Times New Roman" w:hAnsi="Times New Roman" w:cs="Times New Roman"/>
          <w:color w:val="auto"/>
          <w:kern w:val="2"/>
          <w:szCs w:val="21"/>
          <w:lang w:val="en-US" w:eastAsia="zh-CN" w:bidi="ar-SA"/>
        </w:rPr>
        <w:t>民族传统医学体系</w:t>
      </w:r>
      <w:r>
        <w:rPr>
          <w:rFonts w:hint="eastAsia" w:cs="Times New Roman"/>
          <w:color w:val="auto"/>
          <w:kern w:val="2"/>
          <w:szCs w:val="21"/>
          <w:lang w:val="en-US" w:eastAsia="zh-CN" w:bidi="ar-SA"/>
        </w:rPr>
        <w:t>之一，也是中医重要组成部分，其具有鲜明民族特色，</w:t>
      </w:r>
      <w:r>
        <w:rPr>
          <w:rFonts w:hint="default" w:ascii="Times New Roman" w:hAnsi="Times New Roman" w:cs="Times New Roman"/>
          <w:color w:val="auto"/>
          <w:kern w:val="2"/>
          <w:szCs w:val="21"/>
          <w:lang w:val="en-US" w:eastAsia="zh-CN" w:bidi="ar-SA"/>
        </w:rPr>
        <w:t>在疼痛疾病、慢性病、康复调理等</w:t>
      </w:r>
      <w:r>
        <w:rPr>
          <w:rFonts w:hint="eastAsia" w:ascii="Times New Roman" w:hAnsi="Times New Roman" w:cs="Times New Roman"/>
          <w:color w:val="auto"/>
          <w:kern w:val="2"/>
          <w:szCs w:val="21"/>
          <w:lang w:val="en-US" w:eastAsia="zh-CN" w:bidi="ar-SA"/>
        </w:rPr>
        <w:t>均有独特</w:t>
      </w:r>
      <w:r>
        <w:rPr>
          <w:rFonts w:hint="eastAsia" w:cs="Times New Roman"/>
          <w:color w:val="auto"/>
          <w:kern w:val="2"/>
          <w:szCs w:val="21"/>
          <w:lang w:val="en-US" w:eastAsia="zh-CN" w:bidi="ar-SA"/>
        </w:rPr>
        <w:t>治疗优势</w:t>
      </w:r>
      <w:r>
        <w:rPr>
          <w:rFonts w:hint="eastAsia" w:ascii="Times New Roman" w:hAnsi="Times New Roman" w:eastAsia="宋体" w:cs="Times New Roman"/>
          <w:color w:val="auto"/>
          <w:kern w:val="2"/>
          <w:szCs w:val="24"/>
          <w:vertAlign w:val="superscript"/>
          <w:lang w:val="en-US" w:eastAsia="zh-CN" w:bidi="ar-SA"/>
        </w:rPr>
        <w:t>[1</w:t>
      </w:r>
      <w:r>
        <w:rPr>
          <w:rFonts w:hint="eastAsia" w:cs="Times New Roman"/>
          <w:color w:val="auto"/>
          <w:kern w:val="2"/>
          <w:szCs w:val="24"/>
          <w:vertAlign w:val="superscript"/>
          <w:lang w:val="en-US" w:eastAsia="zh-CN" w:bidi="ar-SA"/>
        </w:rPr>
        <w:t>-2</w:t>
      </w:r>
      <w:r>
        <w:rPr>
          <w:rFonts w:hint="eastAsia" w:ascii="Times New Roman" w:hAnsi="Times New Roman" w:eastAsia="宋体" w:cs="Times New Roman"/>
          <w:color w:val="auto"/>
          <w:kern w:val="2"/>
          <w:szCs w:val="24"/>
          <w:vertAlign w:val="superscript"/>
          <w:lang w:val="en-US" w:eastAsia="zh-CN" w:bidi="ar-SA"/>
        </w:rPr>
        <w:t>]</w:t>
      </w:r>
      <w:r>
        <w:rPr>
          <w:rFonts w:hint="default" w:ascii="Times New Roman" w:hAnsi="Times New Roman" w:cs="Times New Roman"/>
          <w:color w:val="auto"/>
          <w:kern w:val="2"/>
          <w:szCs w:val="21"/>
          <w:lang w:val="en-US" w:eastAsia="zh-CN" w:bidi="ar-SA"/>
        </w:rPr>
        <w:t>。</w:t>
      </w:r>
      <w:r>
        <w:rPr>
          <w:rFonts w:hint="default" w:ascii="Times New Roman" w:hAnsi="Times New Roman" w:cs="Times New Roman"/>
          <w:color w:val="0000FF"/>
          <w:kern w:val="2"/>
          <w:szCs w:val="21"/>
          <w:lang w:val="en-US" w:eastAsia="zh-CN" w:bidi="ar-SA"/>
        </w:rPr>
        <w:t>壮瑶医非药物疗法是指患者使用以壮瑶医理论为指导，不依赖内服药物，通过手法、器具、外治、导引等方式开展的能发挥壮瑶医药特色优势的临床实用技术，包括壮医经筋治疗、壮医刮痧排毒治疗、壮医药物竹罐治疗、壮医莲花针拔罐逐瘀治疗、壮医敷贴治疗等多种壮瑶医医疗技术，</w:t>
      </w:r>
      <w:r>
        <w:commentReference w:id="6"/>
      </w:r>
      <w:r>
        <w:rPr>
          <w:rFonts w:hint="default" w:ascii="Times New Roman" w:hAnsi="Times New Roman" w:cs="Times New Roman"/>
          <w:color w:val="auto"/>
          <w:kern w:val="2"/>
          <w:szCs w:val="21"/>
          <w:lang w:val="en-US" w:eastAsia="zh-CN" w:bidi="ar-SA"/>
        </w:rPr>
        <w:t>具有操作简便、安全性高、疗效确切、费用低廉等</w:t>
      </w:r>
      <w:r>
        <w:rPr>
          <w:rFonts w:hint="eastAsia" w:ascii="Times New Roman" w:hAnsi="Times New Roman" w:cs="Times New Roman"/>
          <w:color w:val="auto"/>
          <w:kern w:val="2"/>
          <w:szCs w:val="21"/>
          <w:lang w:val="en-US" w:eastAsia="zh-CN" w:bidi="ar-SA"/>
        </w:rPr>
        <w:t>优势</w:t>
      </w:r>
      <w:r>
        <w:rPr>
          <w:rFonts w:hint="default" w:ascii="Times New Roman" w:hAnsi="Times New Roman" w:cs="Times New Roman"/>
          <w:color w:val="auto"/>
          <w:kern w:val="2"/>
          <w:szCs w:val="21"/>
          <w:lang w:val="en-US" w:eastAsia="zh-CN" w:bidi="ar-SA"/>
        </w:rPr>
        <w:t>。</w:t>
      </w:r>
      <w:r>
        <w:rPr>
          <w:rFonts w:hint="eastAsia" w:ascii="Times New Roman" w:hAnsi="Times New Roman" w:cs="Times New Roman"/>
          <w:color w:val="auto"/>
          <w:kern w:val="2"/>
          <w:szCs w:val="21"/>
          <w:lang w:val="en-US" w:eastAsia="zh-CN" w:bidi="ar-SA"/>
        </w:rPr>
        <w:t>较药物疗法，</w:t>
      </w:r>
      <w:r>
        <w:rPr>
          <w:rFonts w:hint="default" w:ascii="Times New Roman" w:hAnsi="Times New Roman" w:cs="Times New Roman"/>
          <w:color w:val="auto"/>
          <w:kern w:val="2"/>
          <w:szCs w:val="21"/>
          <w:lang w:val="en-US" w:eastAsia="zh-CN" w:bidi="ar-SA"/>
        </w:rPr>
        <w:t>非药物疗法可减少药物依赖</w:t>
      </w:r>
      <w:r>
        <w:rPr>
          <w:rFonts w:hint="eastAsia" w:ascii="Times New Roman" w:hAnsi="Times New Roman" w:cs="Times New Roman"/>
          <w:color w:val="auto"/>
          <w:kern w:val="2"/>
          <w:szCs w:val="21"/>
          <w:lang w:val="en-US" w:eastAsia="zh-CN" w:bidi="ar-SA"/>
        </w:rPr>
        <w:t>，</w:t>
      </w:r>
      <w:r>
        <w:rPr>
          <w:rFonts w:hint="default" w:ascii="Times New Roman" w:hAnsi="Times New Roman" w:cs="Times New Roman"/>
          <w:color w:val="auto"/>
          <w:kern w:val="2"/>
          <w:szCs w:val="21"/>
          <w:lang w:val="en-US" w:eastAsia="zh-CN" w:bidi="ar-SA"/>
        </w:rPr>
        <w:t>降低医疗成本</w:t>
      </w:r>
      <w:r>
        <w:rPr>
          <w:rFonts w:hint="eastAsia" w:ascii="Times New Roman" w:hAnsi="Times New Roman" w:cs="Times New Roman"/>
          <w:color w:val="auto"/>
          <w:kern w:val="2"/>
          <w:szCs w:val="21"/>
          <w:lang w:val="en-US" w:eastAsia="zh-CN" w:bidi="ar-SA"/>
        </w:rPr>
        <w:t>，提高患者接受度</w:t>
      </w:r>
      <w:r>
        <w:rPr>
          <w:rFonts w:hint="default" w:ascii="Times New Roman" w:hAnsi="Times New Roman" w:cs="Times New Roman"/>
          <w:color w:val="auto"/>
          <w:kern w:val="2"/>
          <w:szCs w:val="21"/>
          <w:lang w:val="en-US" w:eastAsia="zh-CN" w:bidi="ar-SA"/>
        </w:rPr>
        <w:t>。</w:t>
      </w:r>
      <w:r>
        <w:rPr>
          <w:rFonts w:hint="eastAsia" w:ascii="Times New Roman" w:hAnsi="Times New Roman" w:cs="Times New Roman"/>
          <w:color w:val="auto"/>
          <w:kern w:val="2"/>
          <w:szCs w:val="21"/>
          <w:lang w:val="en-US" w:eastAsia="zh-CN" w:bidi="ar-SA"/>
        </w:rPr>
        <w:t>但目前研究发现，</w:t>
      </w:r>
      <w:r>
        <w:rPr>
          <w:rFonts w:hint="default" w:ascii="Times New Roman" w:hAnsi="Times New Roman" w:cs="Times New Roman"/>
          <w:color w:val="auto"/>
          <w:kern w:val="2"/>
          <w:szCs w:val="21"/>
          <w:lang w:val="en-US" w:eastAsia="zh-CN" w:bidi="ar-SA"/>
        </w:rPr>
        <w:t>门诊诊疗仍以药物治疗为主</w:t>
      </w:r>
      <w:r>
        <w:rPr>
          <w:rFonts w:hint="eastAsia" w:cs="Times New Roman"/>
          <w:color w:val="auto"/>
          <w:kern w:val="2"/>
          <w:szCs w:val="21"/>
          <w:lang w:val="en-US" w:eastAsia="zh-CN" w:bidi="ar-SA"/>
        </w:rPr>
        <w:t>，</w:t>
      </w:r>
      <w:r>
        <w:rPr>
          <w:rFonts w:hint="eastAsia" w:cs="Times New Roman"/>
          <w:color w:val="0000FF"/>
          <w:kern w:val="2"/>
          <w:szCs w:val="21"/>
          <w:lang w:val="en-US" w:eastAsia="zh-CN" w:bidi="ar-SA"/>
        </w:rPr>
        <w:t>2023年我院非药物诊疗人次占门诊总人次的比例仅为17.36%，虽已达到国家三级公立绩效考核指标要求，但仍有很大的提升空间</w:t>
      </w:r>
      <w:r>
        <w:rPr>
          <w:color w:val="0000FF"/>
        </w:rPr>
        <w:commentReference w:id="7"/>
      </w:r>
      <w:r>
        <w:rPr>
          <w:rFonts w:hint="eastAsia" w:ascii="Times New Roman" w:hAnsi="Times New Roman" w:eastAsia="宋体" w:cs="Times New Roman"/>
          <w:color w:val="0000FF"/>
          <w:kern w:val="2"/>
          <w:szCs w:val="24"/>
          <w:vertAlign w:val="superscript"/>
          <w:lang w:val="en-US" w:eastAsia="zh-CN" w:bidi="ar-SA"/>
        </w:rPr>
        <w:t>[</w:t>
      </w:r>
      <w:r>
        <w:rPr>
          <w:rFonts w:hint="eastAsia" w:cs="Times New Roman"/>
          <w:color w:val="0000FF"/>
          <w:kern w:val="2"/>
          <w:szCs w:val="24"/>
          <w:vertAlign w:val="superscript"/>
          <w:lang w:val="en-US" w:eastAsia="zh-CN" w:bidi="ar-SA"/>
        </w:rPr>
        <w:t>3</w:t>
      </w:r>
      <w:r>
        <w:rPr>
          <w:rFonts w:hint="eastAsia" w:ascii="Times New Roman" w:hAnsi="Times New Roman" w:eastAsia="宋体" w:cs="Times New Roman"/>
          <w:color w:val="0000FF"/>
          <w:kern w:val="2"/>
          <w:szCs w:val="24"/>
          <w:vertAlign w:val="superscript"/>
          <w:lang w:val="en-US" w:eastAsia="zh-CN" w:bidi="ar-SA"/>
        </w:rPr>
        <w:t>]</w:t>
      </w:r>
      <w:r>
        <w:rPr>
          <w:rFonts w:hint="eastAsia" w:ascii="Times New Roman" w:hAnsi="Times New Roman" w:cs="Times New Roman"/>
          <w:color w:val="0000FF"/>
          <w:kern w:val="2"/>
          <w:szCs w:val="21"/>
          <w:lang w:val="en-US" w:eastAsia="zh-CN" w:bidi="ar-SA"/>
        </w:rPr>
        <w:t>。</w:t>
      </w:r>
      <w:r>
        <w:rPr>
          <w:rFonts w:hint="default" w:ascii="Times New Roman" w:hAnsi="Times New Roman" w:cs="Times New Roman"/>
          <w:color w:val="auto"/>
          <w:kern w:val="2"/>
          <w:szCs w:val="21"/>
          <w:lang w:val="en-US" w:eastAsia="zh-CN" w:bidi="ar-SA"/>
        </w:rPr>
        <w:t>计划-执行-研究-行动（PDSA）又称戴明循环，由休哈特提出</w:t>
      </w:r>
      <w:r>
        <w:rPr>
          <w:rFonts w:hint="eastAsia" w:ascii="Times New Roman" w:hAnsi="Times New Roman" w:cs="Times New Roman"/>
          <w:color w:val="auto"/>
          <w:kern w:val="2"/>
          <w:szCs w:val="21"/>
          <w:lang w:val="en-US" w:eastAsia="zh-CN" w:bidi="ar-SA"/>
        </w:rPr>
        <w:t>，</w:t>
      </w:r>
      <w:r>
        <w:rPr>
          <w:rFonts w:hint="default" w:ascii="Times New Roman" w:hAnsi="Times New Roman" w:cs="Times New Roman"/>
          <w:color w:val="auto"/>
          <w:kern w:val="2"/>
          <w:szCs w:val="21"/>
          <w:lang w:val="en-US" w:eastAsia="zh-CN" w:bidi="ar-SA"/>
        </w:rPr>
        <w:t>经戴明完善，</w:t>
      </w:r>
      <w:r>
        <w:rPr>
          <w:rFonts w:hint="eastAsia" w:ascii="Times New Roman" w:hAnsi="Times New Roman" w:cs="Times New Roman"/>
          <w:color w:val="auto"/>
          <w:kern w:val="2"/>
          <w:szCs w:val="21"/>
          <w:lang w:val="en-US" w:eastAsia="zh-CN" w:bidi="ar-SA"/>
        </w:rPr>
        <w:t>可</w:t>
      </w:r>
      <w:r>
        <w:rPr>
          <w:rFonts w:hint="default" w:ascii="Times New Roman" w:hAnsi="Times New Roman" w:cs="Times New Roman"/>
          <w:color w:val="auto"/>
          <w:kern w:val="2"/>
          <w:szCs w:val="21"/>
          <w:lang w:val="en-US" w:eastAsia="zh-CN" w:bidi="ar-SA"/>
        </w:rPr>
        <w:t>通过闭环式循环管理，</w:t>
      </w:r>
      <w:r>
        <w:rPr>
          <w:rFonts w:hint="eastAsia" w:ascii="Times New Roman" w:hAnsi="Times New Roman" w:cs="Times New Roman"/>
          <w:color w:val="auto"/>
          <w:kern w:val="2"/>
          <w:szCs w:val="21"/>
          <w:lang w:val="en-US" w:eastAsia="zh-CN" w:bidi="ar-SA"/>
        </w:rPr>
        <w:t>对问题进行分析、干预、效果验证及标准化实施</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color w:val="auto"/>
          <w:kern w:val="2"/>
          <w:szCs w:val="24"/>
          <w:vertAlign w:val="superscript"/>
          <w:lang w:val="en-US" w:eastAsia="zh-CN" w:bidi="ar-SA"/>
        </w:rPr>
        <w:t>4</w:t>
      </w:r>
      <w:r>
        <w:rPr>
          <w:rFonts w:hint="eastAsia" w:ascii="Times New Roman" w:hAnsi="Times New Roman" w:eastAsia="宋体" w:cs="Times New Roman"/>
          <w:color w:val="auto"/>
          <w:kern w:val="2"/>
          <w:szCs w:val="24"/>
          <w:vertAlign w:val="superscript"/>
          <w:lang w:val="en-US" w:eastAsia="zh-CN" w:bidi="ar-SA"/>
        </w:rPr>
        <w:t>]</w:t>
      </w:r>
      <w:r>
        <w:rPr>
          <w:rFonts w:hint="eastAsia" w:ascii="Times New Roman" w:hAnsi="Times New Roman" w:cs="Times New Roman"/>
          <w:color w:val="auto"/>
          <w:kern w:val="2"/>
          <w:szCs w:val="21"/>
          <w:lang w:val="en-US" w:eastAsia="zh-CN" w:bidi="ar-SA"/>
        </w:rPr>
        <w:t>。目前</w:t>
      </w:r>
      <w:r>
        <w:rPr>
          <w:rFonts w:hint="default" w:ascii="Times New Roman" w:hAnsi="Times New Roman" w:cs="Times New Roman"/>
          <w:color w:val="auto"/>
          <w:kern w:val="2"/>
          <w:szCs w:val="21"/>
          <w:lang w:val="en-US" w:eastAsia="zh-CN" w:bidi="ar-SA"/>
        </w:rPr>
        <w:t>PDSA已广泛应用于医疗服务流程优化</w:t>
      </w:r>
      <w:r>
        <w:rPr>
          <w:rFonts w:hint="eastAsia" w:ascii="Times New Roman" w:hAnsi="Times New Roman" w:cs="Times New Roman"/>
          <w:color w:val="auto"/>
          <w:kern w:val="2"/>
          <w:szCs w:val="21"/>
          <w:lang w:val="en-US" w:eastAsia="zh-CN" w:bidi="ar-SA"/>
        </w:rPr>
        <w:t>及</w:t>
      </w:r>
      <w:r>
        <w:rPr>
          <w:rFonts w:hint="default" w:ascii="Times New Roman" w:hAnsi="Times New Roman" w:cs="Times New Roman"/>
          <w:color w:val="auto"/>
          <w:kern w:val="2"/>
          <w:szCs w:val="21"/>
          <w:lang w:val="en-US" w:eastAsia="zh-CN" w:bidi="ar-SA"/>
        </w:rPr>
        <w:t>质量</w:t>
      </w:r>
      <w:r>
        <w:rPr>
          <w:rFonts w:hint="eastAsia" w:ascii="Times New Roman" w:hAnsi="Times New Roman" w:cs="Times New Roman"/>
          <w:color w:val="auto"/>
          <w:kern w:val="2"/>
          <w:szCs w:val="21"/>
          <w:lang w:val="en-US" w:eastAsia="zh-CN" w:bidi="ar-SA"/>
        </w:rPr>
        <w:t>提高。</w:t>
      </w:r>
      <w:r>
        <w:rPr>
          <w:rFonts w:hint="default" w:ascii="Times New Roman" w:hAnsi="Times New Roman" w:cs="Times New Roman"/>
          <w:color w:val="auto"/>
          <w:kern w:val="2"/>
          <w:szCs w:val="21"/>
          <w:lang w:val="en-US" w:eastAsia="zh-CN" w:bidi="ar-SA"/>
        </w:rPr>
        <w:t>本研究将</w:t>
      </w:r>
      <w:r>
        <w:rPr>
          <w:rFonts w:hint="eastAsia" w:ascii="Times New Roman" w:hAnsi="Times New Roman" w:cs="Times New Roman"/>
          <w:color w:val="auto"/>
          <w:kern w:val="2"/>
          <w:szCs w:val="21"/>
          <w:lang w:val="en-US" w:eastAsia="zh-CN" w:bidi="ar-SA"/>
        </w:rPr>
        <w:t>对</w:t>
      </w:r>
      <w:r>
        <w:rPr>
          <w:rFonts w:hint="default" w:ascii="Times New Roman" w:hAnsi="Times New Roman" w:cs="Times New Roman"/>
          <w:color w:val="auto"/>
          <w:kern w:val="2"/>
          <w:szCs w:val="21"/>
          <w:lang w:val="en-US" w:eastAsia="zh-CN" w:bidi="ar-SA"/>
        </w:rPr>
        <w:t>PDSA管理</w:t>
      </w:r>
      <w:r>
        <w:rPr>
          <w:rFonts w:hint="eastAsia" w:cs="Times New Roman"/>
          <w:color w:val="auto"/>
          <w:kern w:val="2"/>
          <w:szCs w:val="21"/>
          <w:lang w:val="en-US" w:eastAsia="zh-CN" w:bidi="ar-SA"/>
        </w:rPr>
        <w:t>在</w:t>
      </w:r>
      <w:r>
        <w:rPr>
          <w:rFonts w:hint="default" w:ascii="Times New Roman" w:hAnsi="Times New Roman" w:cs="Times New Roman"/>
          <w:color w:val="auto"/>
          <w:kern w:val="2"/>
          <w:szCs w:val="21"/>
          <w:lang w:val="en-US" w:eastAsia="zh-CN" w:bidi="ar-SA"/>
        </w:rPr>
        <w:t>门诊患者</w:t>
      </w:r>
      <w:r>
        <w:commentReference w:id="8"/>
      </w:r>
      <w:r>
        <w:rPr>
          <w:rFonts w:hint="eastAsia" w:cs="Times New Roman"/>
          <w:color w:val="0000FF"/>
          <w:kern w:val="2"/>
          <w:szCs w:val="21"/>
          <w:lang w:val="en-US" w:eastAsia="zh-CN" w:bidi="ar-SA"/>
        </w:rPr>
        <w:t>壮瑶医非药物疗法比例</w:t>
      </w:r>
      <w:r>
        <w:rPr>
          <w:rFonts w:hint="eastAsia" w:cs="Times New Roman"/>
          <w:color w:val="auto"/>
          <w:kern w:val="2"/>
          <w:szCs w:val="21"/>
          <w:lang w:val="en-US" w:eastAsia="zh-CN" w:bidi="ar-SA"/>
        </w:rPr>
        <w:t>中的应用效果进行分析，旨在</w:t>
      </w:r>
      <w:r>
        <w:rPr>
          <w:rFonts w:hint="eastAsia" w:ascii="Times New Roman" w:hAnsi="Times New Roman" w:cs="Times New Roman"/>
          <w:color w:val="auto"/>
          <w:kern w:val="2"/>
          <w:szCs w:val="21"/>
          <w:lang w:val="en-US" w:eastAsia="zh-CN" w:bidi="ar-SA"/>
        </w:rPr>
        <w:t>进一步推广</w:t>
      </w:r>
      <w:r>
        <w:rPr>
          <w:rFonts w:hint="default" w:ascii="Times New Roman" w:hAnsi="Times New Roman" w:cs="Times New Roman"/>
          <w:color w:val="auto"/>
          <w:kern w:val="2"/>
          <w:szCs w:val="21"/>
          <w:lang w:val="en-US" w:eastAsia="zh-CN" w:bidi="ar-SA"/>
        </w:rPr>
        <w:t>民族医药特色服务。</w:t>
      </w:r>
    </w:p>
    <w:p w14:paraId="7A861BE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b/>
          <w:color w:val="auto"/>
          <w:kern w:val="2"/>
          <w:sz w:val="28"/>
          <w:szCs w:val="28"/>
          <w:lang w:val="en-US" w:eastAsia="zh-CN" w:bidi="ar-SA"/>
        </w:rPr>
      </w:pPr>
      <w:r>
        <w:rPr>
          <w:rFonts w:hint="default" w:ascii="Times New Roman" w:hAnsi="Times New Roman" w:eastAsia="黑体" w:cs="Times New Roman"/>
          <w:b/>
          <w:color w:val="auto"/>
          <w:kern w:val="2"/>
          <w:sz w:val="28"/>
          <w:szCs w:val="28"/>
          <w:lang w:val="en-US" w:eastAsia="zh-CN" w:bidi="ar-SA"/>
        </w:rPr>
        <w:t>1 资料与方法</w:t>
      </w:r>
    </w:p>
    <w:p w14:paraId="7ADF26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1.1一般资料</w:t>
      </w:r>
    </w:p>
    <w:p w14:paraId="7A75F6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选择广西国际壮医医院2024年1月~12月就诊的门诊患者为研究对象。</w:t>
      </w:r>
      <w:r>
        <w:rPr>
          <w:rFonts w:hint="default" w:ascii="Times New Roman" w:hAnsi="Times New Roman" w:eastAsia="宋体" w:cs="Times New Roman"/>
          <w:color w:val="auto"/>
          <w:kern w:val="2"/>
          <w:sz w:val="21"/>
          <w:szCs w:val="21"/>
          <w:lang w:val="en-US" w:eastAsia="zh-CN" w:bidi="ar-SA"/>
        </w:rPr>
        <w:t>纳入标准：①符合门诊常见病症</w:t>
      </w:r>
      <w:r>
        <w:rPr>
          <w:rFonts w:hint="default" w:ascii="Times New Roman" w:hAnsi="Times New Roman" w:cs="Times New Roman"/>
          <w:color w:val="auto"/>
          <w:kern w:val="2"/>
          <w:sz w:val="21"/>
          <w:szCs w:val="21"/>
          <w:lang w:val="en-US" w:eastAsia="zh-CN" w:bidi="ar-SA"/>
        </w:rPr>
        <w:t>标准</w:t>
      </w:r>
      <w:r>
        <w:rPr>
          <w:rFonts w:hint="default" w:ascii="Times New Roman" w:hAnsi="Times New Roman" w:eastAsia="宋体" w:cs="Times New Roman"/>
          <w:color w:val="auto"/>
          <w:kern w:val="2"/>
          <w:sz w:val="21"/>
          <w:szCs w:val="21"/>
          <w:lang w:val="en-US" w:eastAsia="zh-CN" w:bidi="ar-SA"/>
        </w:rPr>
        <w:t>；②年龄≥18 岁；③意识清楚，沟通正常；④自愿参与本研究；⑤符合壮瑶医非药物疗法适用范围。排除标准：①合并脏器功能衰竭</w:t>
      </w:r>
      <w:r>
        <w:rPr>
          <w:rFonts w:hint="default" w:ascii="Times New Roman" w:hAnsi="Times New Roman" w:cs="Times New Roman"/>
          <w:color w:val="auto"/>
          <w:kern w:val="2"/>
          <w:sz w:val="21"/>
          <w:szCs w:val="21"/>
          <w:lang w:val="en-US" w:eastAsia="zh-CN" w:bidi="ar-SA"/>
        </w:rPr>
        <w:t>、恶性肿瘤等疾病</w:t>
      </w:r>
      <w:r>
        <w:rPr>
          <w:rFonts w:hint="default" w:ascii="Times New Roman" w:hAnsi="Times New Roman" w:eastAsia="宋体" w:cs="Times New Roman"/>
          <w:color w:val="auto"/>
          <w:kern w:val="2"/>
          <w:sz w:val="21"/>
          <w:szCs w:val="21"/>
          <w:lang w:val="en-US" w:eastAsia="zh-CN" w:bidi="ar-SA"/>
        </w:rPr>
        <w:t>；②局部皮肤破损、感染、溃疡</w:t>
      </w:r>
      <w:r>
        <w:rPr>
          <w:rFonts w:hint="default" w:ascii="Times New Roman" w:hAnsi="Times New Roman"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瘢痕或过敏体质；③妊娠期、哺乳期女性；④精神疾病、认知障碍；⑤近1个月接受同类外治干预</w:t>
      </w:r>
      <w:r>
        <w:rPr>
          <w:rFonts w:hint="default" w:ascii="Times New Roman" w:hAnsi="Times New Roman" w:cs="Times New Roman"/>
          <w:color w:val="auto"/>
          <w:kern w:val="2"/>
          <w:sz w:val="21"/>
          <w:szCs w:val="21"/>
          <w:lang w:val="en-US" w:eastAsia="zh-CN" w:bidi="ar-SA"/>
        </w:rPr>
        <w:t>；⑥</w:t>
      </w:r>
      <w:r>
        <w:rPr>
          <w:rFonts w:hint="default" w:ascii="Times New Roman" w:hAnsi="Times New Roman" w:eastAsia="宋体" w:cs="Times New Roman"/>
          <w:color w:val="auto"/>
          <w:kern w:val="2"/>
          <w:sz w:val="21"/>
          <w:szCs w:val="21"/>
          <w:lang w:val="en-US" w:eastAsia="zh-CN" w:bidi="ar-SA"/>
        </w:rPr>
        <w:t>中途退出、失访或资料不全</w:t>
      </w:r>
      <w:r>
        <w:rPr>
          <w:rFonts w:hint="default" w:ascii="Times New Roman" w:hAnsi="Times New Roman" w:cs="Times New Roman"/>
          <w:color w:val="auto"/>
          <w:kern w:val="2"/>
          <w:sz w:val="21"/>
          <w:szCs w:val="21"/>
          <w:lang w:val="en-US" w:eastAsia="zh-CN" w:bidi="ar-SA"/>
        </w:rPr>
        <w:t>。</w:t>
      </w:r>
    </w:p>
    <w:p w14:paraId="04AA14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根据PDSA管理实施前后分组，2024年1月~6月实施</w:t>
      </w:r>
      <w:r>
        <w:rPr>
          <w:rFonts w:hint="default" w:ascii="Times New Roman" w:hAnsi="Times New Roman" w:eastAsia="宋体" w:cs="Times New Roman"/>
          <w:color w:val="auto"/>
          <w:kern w:val="2"/>
          <w:sz w:val="21"/>
          <w:szCs w:val="21"/>
          <w:lang w:val="en-US" w:eastAsia="zh-CN" w:bidi="ar-SA"/>
        </w:rPr>
        <w:t>常规门诊管理</w:t>
      </w:r>
      <w:r>
        <w:rPr>
          <w:rFonts w:hint="eastAsia" w:cs="Times New Roman"/>
          <w:color w:val="auto"/>
          <w:kern w:val="2"/>
          <w:sz w:val="21"/>
          <w:szCs w:val="21"/>
          <w:lang w:val="en-US" w:eastAsia="zh-CN" w:bidi="ar-SA"/>
        </w:rPr>
        <w:t>的</w:t>
      </w:r>
      <w:r>
        <w:rPr>
          <w:rFonts w:hint="default" w:ascii="Times New Roman" w:hAnsi="Times New Roman" w:cs="Times New Roman"/>
          <w:color w:val="auto"/>
          <w:kern w:val="2"/>
          <w:sz w:val="21"/>
          <w:szCs w:val="21"/>
          <w:lang w:val="en-US" w:eastAsia="zh-CN" w:bidi="ar-SA"/>
        </w:rPr>
        <w:t>患者</w:t>
      </w:r>
      <w:r>
        <w:rPr>
          <w:rFonts w:hint="default" w:ascii="Times New Roman" w:hAnsi="Times New Roman" w:eastAsia="宋体" w:cs="Times New Roman"/>
          <w:color w:val="auto"/>
          <w:kern w:val="2"/>
          <w:sz w:val="21"/>
          <w:szCs w:val="21"/>
          <w:lang w:val="en-US" w:eastAsia="zh-CN" w:bidi="ar-SA"/>
        </w:rPr>
        <w:t>126例</w:t>
      </w:r>
      <w:r>
        <w:rPr>
          <w:rFonts w:hint="default" w:ascii="Times New Roman" w:hAnsi="Times New Roman" w:cs="Times New Roman"/>
          <w:color w:val="auto"/>
          <w:kern w:val="2"/>
          <w:sz w:val="21"/>
          <w:szCs w:val="21"/>
          <w:lang w:val="en-US" w:eastAsia="zh-CN" w:bidi="ar-SA"/>
        </w:rPr>
        <w:t>为对照组，2024年7月~12月实施PDSA管理患者</w:t>
      </w:r>
      <w:r>
        <w:rPr>
          <w:rFonts w:hint="default" w:ascii="Times New Roman" w:hAnsi="Times New Roman" w:eastAsia="宋体" w:cs="Times New Roman"/>
          <w:color w:val="auto"/>
          <w:kern w:val="2"/>
          <w:sz w:val="21"/>
          <w:szCs w:val="21"/>
          <w:lang w:val="en-US" w:eastAsia="zh-CN" w:bidi="ar-SA"/>
        </w:rPr>
        <w:t>12</w:t>
      </w:r>
      <w:r>
        <w:rPr>
          <w:rFonts w:hint="default" w:ascii="Times New Roman" w:hAnsi="Times New Roman" w:cs="Times New Roman"/>
          <w:color w:val="auto"/>
          <w:kern w:val="2"/>
          <w:sz w:val="21"/>
          <w:szCs w:val="21"/>
          <w:lang w:val="en-US" w:eastAsia="zh-CN" w:bidi="ar-SA"/>
        </w:rPr>
        <w:t>5</w:t>
      </w:r>
      <w:r>
        <w:rPr>
          <w:rFonts w:hint="default" w:ascii="Times New Roman" w:hAnsi="Times New Roman" w:eastAsia="宋体" w:cs="Times New Roman"/>
          <w:color w:val="auto"/>
          <w:kern w:val="2"/>
          <w:sz w:val="21"/>
          <w:szCs w:val="21"/>
          <w:lang w:val="en-US" w:eastAsia="zh-CN" w:bidi="ar-SA"/>
        </w:rPr>
        <w:t>例</w:t>
      </w:r>
      <w:r>
        <w:rPr>
          <w:rFonts w:hint="default" w:ascii="Times New Roman" w:hAnsi="Times New Roman" w:cs="Times New Roman"/>
          <w:color w:val="auto"/>
          <w:kern w:val="2"/>
          <w:sz w:val="21"/>
          <w:szCs w:val="21"/>
          <w:lang w:val="en-US" w:eastAsia="zh-CN" w:bidi="ar-SA"/>
        </w:rPr>
        <w:t>为观察组。对照组男72例，女54例，年龄24~85岁（</w:t>
      </w:r>
      <w:r>
        <w:rPr>
          <w:rFonts w:hint="default" w:ascii="Times New Roman" w:hAnsi="Times New Roman" w:eastAsia="宋体" w:cs="Times New Roman"/>
          <w:color w:val="auto"/>
          <w:kern w:val="2"/>
          <w:sz w:val="21"/>
          <w:szCs w:val="21"/>
          <w:lang w:val="en-US" w:eastAsia="zh-CN" w:bidi="ar-SA"/>
        </w:rPr>
        <w:t>46.32±11.25</w:t>
      </w:r>
      <w:r>
        <w:rPr>
          <w:rFonts w:hint="default" w:ascii="Times New Roman" w:hAnsi="Times New Roman" w:cs="Times New Roman"/>
          <w:color w:val="auto"/>
          <w:kern w:val="2"/>
          <w:sz w:val="21"/>
          <w:szCs w:val="21"/>
          <w:lang w:val="en-US" w:eastAsia="zh-CN" w:bidi="ar-SA"/>
        </w:rPr>
        <w:t>）岁；付费方式：</w:t>
      </w:r>
      <w:r>
        <w:rPr>
          <w:rFonts w:hint="default" w:ascii="Times New Roman" w:hAnsi="Times New Roman" w:eastAsia="宋体" w:cs="Times New Roman"/>
          <w:color w:val="auto"/>
          <w:kern w:val="2"/>
          <w:sz w:val="21"/>
          <w:szCs w:val="21"/>
          <w:lang w:val="en-US" w:eastAsia="zh-CN" w:bidi="ar-SA"/>
        </w:rPr>
        <w:t>职工医保</w:t>
      </w:r>
      <w:r>
        <w:rPr>
          <w:rFonts w:hint="default" w:ascii="Times New Roman" w:hAnsi="Times New Roman" w:cs="Times New Roman"/>
          <w:color w:val="auto"/>
          <w:kern w:val="2"/>
          <w:sz w:val="21"/>
          <w:szCs w:val="21"/>
          <w:lang w:val="en-US" w:eastAsia="zh-CN" w:bidi="ar-SA"/>
        </w:rPr>
        <w:t>54例，居民医保50例，自费/其它22例；就诊门诊：妇科8例，</w:t>
      </w:r>
      <w:r>
        <w:rPr>
          <w:rFonts w:hint="default" w:ascii="Times New Roman" w:hAnsi="Times New Roman" w:eastAsia="宋体" w:cs="Times New Roman"/>
          <w:b w:val="0"/>
          <w:bCs w:val="0"/>
          <w:color w:val="auto"/>
          <w:sz w:val="21"/>
          <w:szCs w:val="21"/>
          <w:highlight w:val="none"/>
          <w:lang w:eastAsia="zh-CN"/>
        </w:rPr>
        <w:t>耳鼻咽喉</w:t>
      </w:r>
      <w:r>
        <w:rPr>
          <w:rFonts w:hint="default" w:ascii="Times New Roman" w:hAnsi="Times New Roman" w:cs="Times New Roman"/>
          <w:b w:val="0"/>
          <w:bCs w:val="0"/>
          <w:color w:val="auto"/>
          <w:sz w:val="21"/>
          <w:szCs w:val="21"/>
          <w:highlight w:val="none"/>
          <w:lang w:eastAsia="zh-CN"/>
        </w:rPr>
        <w:t>科</w:t>
      </w:r>
      <w:r>
        <w:rPr>
          <w:rFonts w:hint="default" w:ascii="Times New Roman" w:hAnsi="Times New Roman" w:cs="Times New Roman"/>
          <w:b w:val="0"/>
          <w:bCs w:val="0"/>
          <w:color w:val="auto"/>
          <w:sz w:val="21"/>
          <w:szCs w:val="21"/>
          <w:highlight w:val="none"/>
          <w:lang w:val="en-US" w:eastAsia="zh-CN"/>
        </w:rPr>
        <w:t>19例，皮肤科54例，</w:t>
      </w:r>
      <w:r>
        <w:rPr>
          <w:rFonts w:hint="default" w:ascii="Times New Roman" w:hAnsi="Times New Roman" w:cs="Times New Roman"/>
          <w:color w:val="auto"/>
          <w:kern w:val="2"/>
          <w:sz w:val="21"/>
          <w:szCs w:val="21"/>
          <w:lang w:val="en-US" w:eastAsia="zh-CN" w:bidi="ar-SA"/>
        </w:rPr>
        <w:t>壮医经典病房45例。观察组男77例，女48例，年龄20~81岁（</w:t>
      </w:r>
      <w:r>
        <w:rPr>
          <w:rFonts w:hint="default" w:ascii="Times New Roman" w:hAnsi="Times New Roman" w:eastAsia="宋体" w:cs="Times New Roman"/>
          <w:color w:val="auto"/>
          <w:kern w:val="2"/>
          <w:sz w:val="21"/>
          <w:szCs w:val="21"/>
          <w:lang w:val="en-US" w:eastAsia="zh-CN" w:bidi="ar-SA"/>
        </w:rPr>
        <w:t>45.87±10.93</w:t>
      </w:r>
      <w:r>
        <w:rPr>
          <w:rFonts w:hint="default" w:ascii="Times New Roman" w:hAnsi="Times New Roman" w:cs="Times New Roman"/>
          <w:color w:val="auto"/>
          <w:kern w:val="2"/>
          <w:sz w:val="21"/>
          <w:szCs w:val="21"/>
          <w:lang w:val="en-US" w:eastAsia="zh-CN" w:bidi="ar-SA"/>
        </w:rPr>
        <w:t>）岁；付费方式：</w:t>
      </w:r>
      <w:r>
        <w:rPr>
          <w:rFonts w:hint="default" w:ascii="Times New Roman" w:hAnsi="Times New Roman" w:eastAsia="宋体" w:cs="Times New Roman"/>
          <w:color w:val="auto"/>
          <w:kern w:val="2"/>
          <w:sz w:val="21"/>
          <w:szCs w:val="21"/>
          <w:lang w:val="en-US" w:eastAsia="zh-CN" w:bidi="ar-SA"/>
        </w:rPr>
        <w:t>职工医保</w:t>
      </w:r>
      <w:r>
        <w:rPr>
          <w:rFonts w:hint="default" w:ascii="Times New Roman" w:hAnsi="Times New Roman" w:cs="Times New Roman"/>
          <w:color w:val="auto"/>
          <w:kern w:val="2"/>
          <w:sz w:val="21"/>
          <w:szCs w:val="21"/>
          <w:lang w:val="en-US" w:eastAsia="zh-CN" w:bidi="ar-SA"/>
        </w:rPr>
        <w:t>50例，居民医保45例，自费/其它3</w:t>
      </w:r>
      <w:r>
        <w:rPr>
          <w:rFonts w:hint="default" w:ascii="Times New Roman" w:hAnsi="Times New Roman" w:cs="Times New Roman"/>
          <w:color w:val="0000FF"/>
          <w:kern w:val="2"/>
          <w:sz w:val="21"/>
          <w:szCs w:val="21"/>
          <w:lang w:val="en-US" w:eastAsia="zh-CN" w:bidi="ar-SA"/>
        </w:rPr>
        <w:t>0例</w:t>
      </w:r>
      <w:r>
        <w:rPr>
          <w:color w:val="0000FF"/>
        </w:rPr>
        <w:commentReference w:id="9"/>
      </w:r>
      <w:r>
        <w:rPr>
          <w:rFonts w:hint="default" w:ascii="Times New Roman" w:hAnsi="Times New Roman" w:cs="Times New Roman"/>
          <w:color w:val="0000FF"/>
          <w:kern w:val="2"/>
          <w:sz w:val="21"/>
          <w:szCs w:val="21"/>
          <w:lang w:val="en-US" w:eastAsia="zh-CN" w:bidi="ar-SA"/>
        </w:rPr>
        <w:t>；</w:t>
      </w:r>
      <w:r>
        <w:rPr>
          <w:rFonts w:hint="default" w:ascii="Times New Roman" w:hAnsi="Times New Roman" w:cs="Times New Roman"/>
          <w:color w:val="auto"/>
          <w:kern w:val="2"/>
          <w:sz w:val="21"/>
          <w:szCs w:val="21"/>
          <w:lang w:val="en-US" w:eastAsia="zh-CN" w:bidi="ar-SA"/>
        </w:rPr>
        <w:t>就诊门诊：妇科20例，</w:t>
      </w:r>
      <w:r>
        <w:rPr>
          <w:rFonts w:hint="default" w:ascii="Times New Roman" w:hAnsi="Times New Roman" w:eastAsia="宋体" w:cs="Times New Roman"/>
          <w:b w:val="0"/>
          <w:bCs w:val="0"/>
          <w:color w:val="auto"/>
          <w:sz w:val="21"/>
          <w:szCs w:val="21"/>
          <w:highlight w:val="none"/>
          <w:lang w:eastAsia="zh-CN"/>
        </w:rPr>
        <w:t>耳鼻咽喉</w:t>
      </w:r>
      <w:r>
        <w:rPr>
          <w:rFonts w:hint="default" w:ascii="Times New Roman" w:hAnsi="Times New Roman" w:cs="Times New Roman"/>
          <w:b w:val="0"/>
          <w:bCs w:val="0"/>
          <w:color w:val="auto"/>
          <w:sz w:val="21"/>
          <w:szCs w:val="21"/>
          <w:highlight w:val="none"/>
          <w:lang w:eastAsia="zh-CN"/>
        </w:rPr>
        <w:t>科</w:t>
      </w:r>
      <w:r>
        <w:rPr>
          <w:rFonts w:hint="default" w:ascii="Times New Roman" w:hAnsi="Times New Roman" w:cs="Times New Roman"/>
          <w:b w:val="0"/>
          <w:bCs w:val="0"/>
          <w:color w:val="auto"/>
          <w:sz w:val="21"/>
          <w:szCs w:val="21"/>
          <w:highlight w:val="none"/>
          <w:lang w:val="en-US" w:eastAsia="zh-CN"/>
        </w:rPr>
        <w:t>9例，皮肤科48例，</w:t>
      </w:r>
      <w:r>
        <w:rPr>
          <w:rFonts w:hint="default" w:ascii="Times New Roman" w:hAnsi="Times New Roman" w:cs="Times New Roman"/>
          <w:color w:val="auto"/>
          <w:kern w:val="2"/>
          <w:sz w:val="21"/>
          <w:szCs w:val="21"/>
          <w:lang w:val="en-US" w:eastAsia="zh-CN" w:bidi="ar-SA"/>
        </w:rPr>
        <w:t>壮医经典病房48例。</w:t>
      </w:r>
      <w:r>
        <w:rPr>
          <w:rFonts w:hint="default" w:ascii="Times New Roman" w:hAnsi="Times New Roman" w:eastAsia="宋体" w:cs="Times New Roman"/>
          <w:color w:val="auto"/>
          <w:kern w:val="2"/>
          <w:sz w:val="21"/>
          <w:szCs w:val="21"/>
          <w:lang w:val="en-US" w:eastAsia="zh-CN" w:bidi="ar-SA"/>
        </w:rPr>
        <w:t>两组患者资料比较</w:t>
      </w:r>
      <w:r>
        <w:rPr>
          <w:rFonts w:hint="default" w:ascii="Times New Roman" w:hAnsi="Times New Roman" w:cs="Times New Roman"/>
          <w:color w:val="auto"/>
          <w:kern w:val="2"/>
          <w:sz w:val="21"/>
          <w:szCs w:val="21"/>
          <w:lang w:val="en-US" w:eastAsia="zh-CN" w:bidi="ar-SA"/>
        </w:rPr>
        <w:t>均无</w:t>
      </w:r>
      <w:r>
        <w:rPr>
          <w:rFonts w:hint="default" w:ascii="Times New Roman" w:hAnsi="Times New Roman" w:eastAsia="宋体" w:cs="Times New Roman"/>
          <w:color w:val="auto"/>
          <w:kern w:val="2"/>
          <w:sz w:val="21"/>
          <w:szCs w:val="21"/>
          <w:lang w:val="en-US" w:eastAsia="zh-CN" w:bidi="ar-SA"/>
        </w:rPr>
        <w:t>差异（</w:t>
      </w:r>
      <w:r>
        <w:rPr>
          <w:rFonts w:hint="default" w:ascii="Times New Roman" w:hAnsi="Times New Roman" w:eastAsia="宋体" w:cs="Times New Roman"/>
          <w:i/>
          <w:iCs/>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＞0.05）。</w:t>
      </w:r>
    </w:p>
    <w:p w14:paraId="616701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1.2方法</w:t>
      </w:r>
    </w:p>
    <w:p w14:paraId="1BA2C1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对照组</w:t>
      </w:r>
      <w:r>
        <w:rPr>
          <w:rFonts w:hint="default" w:ascii="Times New Roman" w:hAnsi="Times New Roman" w:cs="Times New Roman"/>
          <w:color w:val="auto"/>
          <w:kern w:val="2"/>
          <w:sz w:val="21"/>
          <w:szCs w:val="21"/>
          <w:lang w:val="en-US" w:eastAsia="zh-CN" w:bidi="ar-SA"/>
        </w:rPr>
        <w:t>予</w:t>
      </w:r>
      <w:r>
        <w:rPr>
          <w:rFonts w:hint="default" w:ascii="Times New Roman" w:hAnsi="Times New Roman" w:eastAsia="宋体" w:cs="Times New Roman"/>
          <w:color w:val="auto"/>
          <w:kern w:val="2"/>
          <w:sz w:val="21"/>
          <w:szCs w:val="21"/>
          <w:lang w:val="en-US" w:eastAsia="zh-CN" w:bidi="ar-SA"/>
        </w:rPr>
        <w:t>常规门诊管理，医师按需提供非药物疗法</w:t>
      </w:r>
      <w:r>
        <w:rPr>
          <w:rFonts w:hint="default" w:ascii="Times New Roman" w:hAnsi="Times New Roman" w:cs="Times New Roman"/>
          <w:color w:val="auto"/>
          <w:kern w:val="2"/>
          <w:sz w:val="21"/>
          <w:szCs w:val="21"/>
          <w:lang w:val="en-US" w:eastAsia="zh-CN" w:bidi="ar-SA"/>
        </w:rPr>
        <w:t>，并进行口头健康宣讲非药物疗法意义及作用价值等。</w:t>
      </w:r>
    </w:p>
    <w:p w14:paraId="62BBE9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观察组予</w:t>
      </w:r>
      <w:r>
        <w:rPr>
          <w:rFonts w:hint="default" w:ascii="Times New Roman" w:hAnsi="Times New Roman" w:eastAsia="宋体" w:cs="Times New Roman"/>
          <w:color w:val="auto"/>
          <w:kern w:val="2"/>
          <w:sz w:val="21"/>
          <w:szCs w:val="21"/>
          <w:lang w:val="en-US" w:eastAsia="zh-CN" w:bidi="ar-SA"/>
        </w:rPr>
        <w:t>PDSA 管理，</w:t>
      </w:r>
      <w:r>
        <w:rPr>
          <w:rFonts w:hint="default" w:ascii="Times New Roman" w:hAnsi="Times New Roman" w:cs="Times New Roman"/>
          <w:color w:val="auto"/>
          <w:kern w:val="2"/>
          <w:sz w:val="21"/>
          <w:szCs w:val="21"/>
          <w:lang w:val="en-US" w:eastAsia="zh-CN" w:bidi="ar-SA"/>
        </w:rPr>
        <w:t>操作如下：（1）计划</w:t>
      </w:r>
      <w:r>
        <w:rPr>
          <w:rFonts w:hint="default" w:ascii="Times New Roman" w:hAnsi="Times New Roman" w:eastAsia="宋体" w:cs="Times New Roman"/>
          <w:color w:val="auto"/>
          <w:kern w:val="2"/>
          <w:sz w:val="21"/>
          <w:szCs w:val="21"/>
          <w:lang w:val="en-US" w:eastAsia="zh-CN" w:bidi="ar-SA"/>
        </w:rPr>
        <w:t>阶段</w:t>
      </w:r>
      <w:r>
        <w:rPr>
          <w:rFonts w:hint="default" w:ascii="Times New Roman" w:hAnsi="Times New Roman" w:cs="Times New Roman"/>
          <w:color w:val="auto"/>
          <w:kern w:val="2"/>
          <w:sz w:val="21"/>
          <w:szCs w:val="21"/>
          <w:lang w:val="en-US" w:eastAsia="zh-CN" w:bidi="ar-SA"/>
        </w:rPr>
        <w:t>：</w:t>
      </w:r>
      <w:r>
        <w:rPr>
          <w:rFonts w:hint="default" w:ascii="Times New Roman" w:hAnsi="Times New Roman" w:eastAsia="宋体" w:cs="Times New Roman"/>
          <w:color w:val="0000FF"/>
          <w:kern w:val="2"/>
          <w:sz w:val="21"/>
          <w:szCs w:val="21"/>
          <w:lang w:val="en-US" w:eastAsia="zh-CN" w:bidi="ar-SA"/>
        </w:rPr>
        <w:t>由门诊办公室、护理部、医疗质量管理办公室</w:t>
      </w:r>
      <w:r>
        <w:rPr>
          <w:color w:val="0000FF"/>
        </w:rPr>
        <w:commentReference w:id="10"/>
      </w:r>
      <w:r>
        <w:rPr>
          <w:rFonts w:hint="default" w:ascii="Times New Roman" w:hAnsi="Times New Roman" w:cs="Times New Roman"/>
          <w:color w:val="0000FF"/>
          <w:kern w:val="2"/>
          <w:sz w:val="21"/>
          <w:szCs w:val="21"/>
          <w:lang w:val="en-US" w:eastAsia="zh-CN" w:bidi="ar-SA"/>
        </w:rPr>
        <w:t>等</w:t>
      </w:r>
      <w:r>
        <w:rPr>
          <w:rFonts w:hint="default" w:ascii="Times New Roman" w:hAnsi="Times New Roman" w:cs="Times New Roman"/>
          <w:color w:val="auto"/>
          <w:kern w:val="2"/>
          <w:sz w:val="21"/>
          <w:szCs w:val="21"/>
          <w:lang w:val="en-US" w:eastAsia="zh-CN" w:bidi="ar-SA"/>
        </w:rPr>
        <w:t>共同组建</w:t>
      </w:r>
      <w:r>
        <w:rPr>
          <w:rFonts w:hint="default" w:ascii="Times New Roman" w:hAnsi="Times New Roman" w:eastAsia="宋体" w:cs="Times New Roman"/>
          <w:color w:val="auto"/>
          <w:kern w:val="2"/>
          <w:sz w:val="21"/>
          <w:szCs w:val="21"/>
          <w:lang w:val="en-US" w:eastAsia="zh-CN" w:bidi="ar-SA"/>
        </w:rPr>
        <w:t>PDSA小组，回顾</w:t>
      </w:r>
      <w:r>
        <w:rPr>
          <w:rFonts w:hint="default" w:ascii="Times New Roman" w:hAnsi="Times New Roman" w:cs="Times New Roman"/>
          <w:color w:val="auto"/>
          <w:kern w:val="2"/>
          <w:sz w:val="21"/>
          <w:szCs w:val="21"/>
          <w:lang w:val="en-US" w:eastAsia="zh-CN" w:bidi="ar-SA"/>
        </w:rPr>
        <w:t>2024年</w:t>
      </w:r>
      <w:r>
        <w:rPr>
          <w:rFonts w:hint="default" w:ascii="Times New Roman" w:hAnsi="Times New Roman" w:eastAsia="宋体" w:cs="Times New Roman"/>
          <w:color w:val="auto"/>
          <w:kern w:val="2"/>
          <w:sz w:val="21"/>
          <w:szCs w:val="21"/>
          <w:lang w:val="en-US" w:eastAsia="zh-CN" w:bidi="ar-SA"/>
        </w:rPr>
        <w:t>上半年</w:t>
      </w:r>
      <w:r>
        <w:rPr>
          <w:rFonts w:hint="eastAsia" w:cs="Times New Roman"/>
          <w:color w:val="0000FF"/>
          <w:lang w:eastAsia="zh-CN"/>
        </w:rPr>
        <w:t>壮瑶医非药物疗法比例</w:t>
      </w:r>
      <w:r>
        <w:rPr>
          <w:rFonts w:hint="default" w:ascii="Times New Roman" w:hAnsi="Times New Roman" w:eastAsia="宋体" w:cs="Times New Roman"/>
          <w:color w:val="auto"/>
          <w:kern w:val="2"/>
          <w:sz w:val="21"/>
          <w:szCs w:val="21"/>
          <w:lang w:val="en-US" w:eastAsia="zh-CN" w:bidi="ar-SA"/>
        </w:rPr>
        <w:t>数据，</w:t>
      </w:r>
      <w:r>
        <w:rPr>
          <w:rFonts w:hint="default" w:ascii="Times New Roman" w:hAnsi="Times New Roman" w:cs="Times New Roman"/>
          <w:color w:val="auto"/>
          <w:kern w:val="2"/>
          <w:sz w:val="21"/>
          <w:szCs w:val="21"/>
          <w:lang w:val="en-US" w:eastAsia="zh-CN" w:bidi="ar-SA"/>
        </w:rPr>
        <w:t>采用头脑风暴法及鱼骨图分析</w:t>
      </w:r>
      <w:r>
        <w:rPr>
          <w:rFonts w:hint="default" w:ascii="Times New Roman" w:hAnsi="Times New Roman" w:cs="Times New Roman"/>
          <w:color w:val="auto"/>
        </w:rPr>
        <w:t>非药物疗法</w:t>
      </w:r>
      <w:r>
        <w:rPr>
          <w:rFonts w:hint="default" w:ascii="Times New Roman" w:hAnsi="Times New Roman" w:cs="Times New Roman"/>
          <w:color w:val="auto"/>
          <w:lang w:eastAsia="zh-CN"/>
        </w:rPr>
        <w:t>使用原因。按</w:t>
      </w:r>
      <w:r>
        <w:rPr>
          <w:rFonts w:hint="default" w:ascii="Times New Roman" w:hAnsi="Times New Roman" w:eastAsia="宋体" w:cs="Times New Roman"/>
          <w:color w:val="auto"/>
          <w:kern w:val="2"/>
          <w:sz w:val="21"/>
          <w:szCs w:val="21"/>
          <w:lang w:val="en-US" w:eastAsia="zh-CN" w:bidi="ar-SA"/>
        </w:rPr>
        <w:t>人、机、料、法、环</w:t>
      </w:r>
      <w:r>
        <w:rPr>
          <w:rFonts w:hint="default" w:ascii="Times New Roman" w:hAnsi="Times New Roman" w:cs="Times New Roman"/>
          <w:color w:val="auto"/>
          <w:kern w:val="2"/>
          <w:sz w:val="21"/>
          <w:szCs w:val="21"/>
          <w:lang w:val="en-US" w:eastAsia="zh-CN" w:bidi="ar-SA"/>
        </w:rPr>
        <w:t>维度分析，首次鱼骨图分析见下图1。并计划将门诊壮瑶医非药物疗法应用比例提高5%。（2）执行阶段：根据计划阶段原因制定针对性干预方案。①加强培训：每月定期开展</w:t>
      </w:r>
      <w:r>
        <w:rPr>
          <w:rFonts w:hint="eastAsia" w:cs="Times New Roman"/>
          <w:color w:val="0000FF"/>
          <w:lang w:eastAsia="zh-CN"/>
        </w:rPr>
        <w:t>壮瑶医</w:t>
      </w:r>
      <w:r>
        <w:commentReference w:id="11"/>
      </w:r>
      <w:r>
        <w:rPr>
          <w:rFonts w:hint="default" w:ascii="Times New Roman" w:hAnsi="Times New Roman" w:cs="Times New Roman"/>
          <w:color w:val="auto"/>
          <w:kern w:val="2"/>
          <w:sz w:val="21"/>
          <w:szCs w:val="21"/>
          <w:lang w:val="en-US" w:eastAsia="zh-CN" w:bidi="ar-SA"/>
        </w:rPr>
        <w:t>非药物疗法专项</w:t>
      </w:r>
      <w:r>
        <w:rPr>
          <w:rFonts w:hint="default" w:ascii="Times New Roman" w:hAnsi="Times New Roman" w:cs="Times New Roman"/>
          <w:color w:val="0000FF"/>
          <w:kern w:val="2"/>
          <w:sz w:val="21"/>
          <w:szCs w:val="21"/>
          <w:lang w:val="en-US" w:eastAsia="zh-CN" w:bidi="ar-SA"/>
        </w:rPr>
        <w:t>培训</w:t>
      </w:r>
      <w:r>
        <w:rPr>
          <w:color w:val="0000FF"/>
        </w:rPr>
        <w:commentReference w:id="12"/>
      </w:r>
      <w:r>
        <w:rPr>
          <w:rFonts w:hint="eastAsia"/>
          <w:color w:val="0000FF"/>
        </w:rPr>
        <w:t>、考核</w:t>
      </w:r>
      <w:r>
        <w:rPr>
          <w:rFonts w:hint="default" w:ascii="Times New Roman" w:hAnsi="Times New Roman" w:cs="Times New Roman"/>
          <w:color w:val="0000FF"/>
          <w:kern w:val="2"/>
          <w:sz w:val="21"/>
          <w:szCs w:val="21"/>
          <w:lang w:val="en-US" w:eastAsia="zh-CN" w:bidi="ar-SA"/>
        </w:rPr>
        <w:t>，</w:t>
      </w:r>
      <w:r>
        <w:rPr>
          <w:rFonts w:hint="default" w:ascii="Times New Roman" w:hAnsi="Times New Roman" w:cs="Times New Roman"/>
          <w:color w:val="auto"/>
          <w:kern w:val="2"/>
          <w:sz w:val="21"/>
          <w:szCs w:val="21"/>
          <w:lang w:val="en-US" w:eastAsia="zh-CN" w:bidi="ar-SA"/>
        </w:rPr>
        <w:t>包括适应证、禁忌证、操作标准化流程、疗效评估等，覆盖医师、护士、治疗师，考核合格上岗。要求医师对适宜患者必须进行非药物疗法告知及推荐。②设备及物料保障：按诊室标准化配置治疗床、艾灸仪、刮痧板等设备及物料，每日进行巡检，每周对物料进行监管及补给，定期进行设备维护。③优化流程：制定非药物疗法操作规范，统一适应证、禁忌证、操作要点、疗程设计。并在</w:t>
      </w:r>
      <w:r>
        <w:rPr>
          <w:rFonts w:hint="default" w:ascii="Times New Roman" w:hAnsi="Times New Roman" w:cs="Times New Roman"/>
          <w:color w:val="0000FF"/>
          <w:kern w:val="2"/>
          <w:sz w:val="21"/>
          <w:szCs w:val="21"/>
          <w:lang w:val="en-US" w:eastAsia="zh-CN" w:bidi="ar-SA"/>
        </w:rPr>
        <w:t>门诊多区域公示</w:t>
      </w:r>
      <w:r>
        <w:rPr>
          <w:color w:val="0000FF"/>
        </w:rPr>
        <w:commentReference w:id="13"/>
      </w:r>
      <w:r>
        <w:rPr>
          <w:rFonts w:hint="default" w:ascii="Times New Roman" w:hAnsi="Times New Roman" w:cs="Times New Roman"/>
          <w:color w:val="0000FF"/>
          <w:kern w:val="2"/>
          <w:sz w:val="21"/>
          <w:szCs w:val="21"/>
          <w:lang w:val="en-US" w:eastAsia="zh-CN" w:bidi="ar-SA"/>
        </w:rPr>
        <w:t>医</w:t>
      </w:r>
      <w:r>
        <w:rPr>
          <w:rFonts w:hint="default" w:ascii="Times New Roman" w:hAnsi="Times New Roman" w:cs="Times New Roman"/>
          <w:color w:val="auto"/>
          <w:kern w:val="2"/>
          <w:sz w:val="21"/>
          <w:szCs w:val="21"/>
          <w:lang w:val="en-US" w:eastAsia="zh-CN" w:bidi="ar-SA"/>
        </w:rPr>
        <w:t>保报销项目、收费标准，医护人员主动告知。将</w:t>
      </w:r>
      <w:r>
        <w:commentReference w:id="14"/>
      </w:r>
      <w:r>
        <w:rPr>
          <w:rFonts w:hint="eastAsia" w:cs="Times New Roman"/>
          <w:color w:val="0000FF"/>
          <w:lang w:eastAsia="zh-CN"/>
        </w:rPr>
        <w:t>壮瑶医</w:t>
      </w:r>
      <w:r>
        <w:rPr>
          <w:rFonts w:hint="default" w:ascii="Times New Roman" w:hAnsi="Times New Roman" w:cs="Times New Roman"/>
          <w:color w:val="auto"/>
          <w:kern w:val="2"/>
          <w:sz w:val="21"/>
          <w:szCs w:val="21"/>
          <w:lang w:val="en-US" w:eastAsia="zh-CN" w:bidi="ar-SA"/>
        </w:rPr>
        <w:t>非药物疗法应用比例、患者满意度、规范操作率纳入科室及个人绩效考核，与奖金、评优直接挂钩。④环境优化：改造治疗室，安装隔帘、遮光帘、通风系统，保证一医一患一诊室。在候诊区设置宣教墙、电视循环播放壮瑶医特色疗法宣传片。完善诊室指引标识，张贴疗法简介、适宜病种、疗程与疗效。（3）研究阶段：每月统计门诊总人次、非药物疗法人次，计算应用比例；并调查患者满意度、医务人员知晓等情况，；对比目标值，分析措施有效性及薄弱环节。（4）处理阶段：将实际数据与阶段目标对比，评价各项措施是否有效。若有效则纳入医院常规管理；对未达标项目及新问题，转入下一轮 PDSA 循环持续改进。</w:t>
      </w:r>
    </w:p>
    <w:p w14:paraId="347672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5271135" cy="3663315"/>
            <wp:effectExtent l="0" t="0" r="5715" b="1333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6"/>
                    <a:stretch>
                      <a:fillRect/>
                    </a:stretch>
                  </pic:blipFill>
                  <pic:spPr>
                    <a:xfrm>
                      <a:off x="0" y="0"/>
                      <a:ext cx="5271135" cy="3663315"/>
                    </a:xfrm>
                    <a:prstGeom prst="rect">
                      <a:avLst/>
                    </a:prstGeom>
                    <a:noFill/>
                    <a:ln>
                      <a:noFill/>
                    </a:ln>
                  </pic:spPr>
                </pic:pic>
              </a:graphicData>
            </a:graphic>
          </wp:inline>
        </w:drawing>
      </w:r>
    </w:p>
    <w:p w14:paraId="2AC4DB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eastAsia="zh-CN"/>
        </w:rPr>
        <w:t>图</w:t>
      </w:r>
      <w:r>
        <w:rPr>
          <w:rFonts w:hint="default" w:ascii="Times New Roman" w:hAnsi="Times New Roman" w:cs="Times New Roman"/>
          <w:color w:val="auto"/>
          <w:lang w:val="en-US" w:eastAsia="zh-CN"/>
        </w:rPr>
        <w:t>1 首次原因分析的鱼骨图</w:t>
      </w:r>
    </w:p>
    <w:p w14:paraId="476395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1.3观察指标</w:t>
      </w:r>
    </w:p>
    <w:p w14:paraId="5D6ADD05">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b w:val="0"/>
          <w:bCs/>
          <w:color w:val="0000FF"/>
          <w:kern w:val="2"/>
          <w:szCs w:val="21"/>
          <w:lang w:val="en-US" w:eastAsia="zh-CN" w:bidi="ar-SA"/>
        </w:rPr>
      </w:pPr>
      <w:r>
        <w:commentReference w:id="15"/>
      </w:r>
      <w:r>
        <w:rPr>
          <w:rFonts w:hint="eastAsia" w:cs="Times New Roman"/>
          <w:b w:val="0"/>
          <w:bCs/>
          <w:color w:val="0000FF"/>
          <w:kern w:val="2"/>
          <w:szCs w:val="21"/>
          <w:lang w:val="en-US" w:eastAsia="zh-CN" w:bidi="ar-SA"/>
        </w:rPr>
        <w:t>壮瑶医非药物疗法比例</w:t>
      </w:r>
      <w:r>
        <w:rPr>
          <w:rFonts w:hint="default" w:ascii="Times New Roman" w:hAnsi="Times New Roman" w:cs="Times New Roman"/>
          <w:b w:val="0"/>
          <w:bCs/>
          <w:color w:val="auto"/>
          <w:kern w:val="2"/>
          <w:szCs w:val="21"/>
          <w:lang w:val="en-US" w:eastAsia="zh-CN" w:bidi="ar-SA"/>
        </w:rPr>
        <w:t>：</w:t>
      </w:r>
      <w:r>
        <w:rPr>
          <w:rFonts w:hint="default" w:ascii="Times New Roman" w:hAnsi="Times New Roman" w:cs="Times New Roman"/>
          <w:b w:val="0"/>
          <w:bCs/>
          <w:color w:val="0000FF"/>
          <w:kern w:val="2"/>
          <w:szCs w:val="21"/>
          <w:lang w:val="en-US" w:eastAsia="zh-CN" w:bidi="ar-SA"/>
        </w:rPr>
        <w:t>壮瑶医</w:t>
      </w:r>
      <w:r>
        <w:commentReference w:id="16"/>
      </w:r>
      <w:r>
        <w:rPr>
          <w:rFonts w:hint="default" w:ascii="Times New Roman" w:hAnsi="Times New Roman" w:eastAsia="宋体" w:cs="Times New Roman"/>
          <w:b w:val="0"/>
          <w:bCs/>
          <w:color w:val="auto"/>
          <w:kern w:val="2"/>
          <w:szCs w:val="21"/>
          <w:lang w:val="en-US" w:eastAsia="zh-CN" w:bidi="ar-SA"/>
        </w:rPr>
        <w:t>非药物疗法</w:t>
      </w:r>
      <w:r>
        <w:rPr>
          <w:rFonts w:hint="default" w:ascii="Times New Roman" w:hAnsi="Times New Roman" w:cs="Times New Roman"/>
          <w:b w:val="0"/>
          <w:bCs/>
          <w:color w:val="auto"/>
          <w:kern w:val="2"/>
          <w:szCs w:val="21"/>
          <w:lang w:val="en-US" w:eastAsia="zh-CN" w:bidi="ar-SA"/>
        </w:rPr>
        <w:t>包括点灸、针刺、刺血、竹罐等疗法，</w:t>
      </w:r>
      <w:r>
        <w:rPr>
          <w:rFonts w:hint="default" w:ascii="Times New Roman" w:hAnsi="Times New Roman" w:cs="Times New Roman"/>
          <w:b w:val="0"/>
          <w:bCs/>
          <w:color w:val="0000FF"/>
          <w:kern w:val="2"/>
          <w:szCs w:val="21"/>
          <w:lang w:val="en-US" w:eastAsia="zh-CN" w:bidi="ar-SA"/>
        </w:rPr>
        <w:t>并</w:t>
      </w:r>
      <w:r>
        <w:rPr>
          <w:rFonts w:hint="eastAsia" w:cs="Times New Roman"/>
          <w:b w:val="0"/>
          <w:bCs/>
          <w:color w:val="0000FF"/>
          <w:kern w:val="2"/>
          <w:szCs w:val="21"/>
          <w:lang w:val="en-US" w:eastAsia="zh-CN" w:bidi="ar-SA"/>
        </w:rPr>
        <w:t>计算</w:t>
      </w:r>
      <w:r>
        <w:rPr>
          <w:rFonts w:hint="default" w:ascii="Times New Roman" w:hAnsi="Times New Roman" w:cs="Times New Roman"/>
          <w:b w:val="0"/>
          <w:bCs/>
          <w:color w:val="0000FF"/>
          <w:kern w:val="2"/>
          <w:szCs w:val="21"/>
          <w:lang w:val="en-US" w:eastAsia="zh-CN" w:bidi="ar-SA"/>
        </w:rPr>
        <w:t>其门诊患者使用</w:t>
      </w:r>
      <w:r>
        <w:rPr>
          <w:rFonts w:hint="eastAsia" w:cs="Times New Roman"/>
          <w:b w:val="0"/>
          <w:bCs/>
          <w:color w:val="0000FF"/>
          <w:kern w:val="2"/>
          <w:szCs w:val="21"/>
          <w:lang w:val="en-US" w:eastAsia="zh-CN" w:bidi="ar-SA"/>
        </w:rPr>
        <w:t>壮瑶医非药物疗法比例</w:t>
      </w:r>
      <w:r>
        <w:rPr>
          <w:rFonts w:hint="default" w:ascii="Times New Roman" w:hAnsi="Times New Roman" w:cs="Times New Roman"/>
          <w:b w:val="0"/>
          <w:bCs/>
          <w:color w:val="0000FF"/>
          <w:kern w:val="2"/>
          <w:szCs w:val="21"/>
          <w:lang w:val="en-US" w:eastAsia="zh-CN" w:bidi="ar-SA"/>
        </w:rPr>
        <w:t>=门诊患者使用壮瑶医非药物疗法总人次数/同期门诊总人数×100%</w:t>
      </w:r>
      <w:r>
        <w:rPr>
          <w:color w:val="0000FF"/>
        </w:rPr>
        <w:commentReference w:id="17"/>
      </w:r>
    </w:p>
    <w:p w14:paraId="00C5DF8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color w:val="auto"/>
          <w:kern w:val="2"/>
          <w:szCs w:val="21"/>
          <w:lang w:val="en-US" w:eastAsia="zh-CN" w:bidi="ar-SA"/>
        </w:rPr>
      </w:pPr>
      <w:r>
        <w:rPr>
          <w:rFonts w:hint="default" w:ascii="Times New Roman" w:hAnsi="Times New Roman" w:eastAsia="宋体" w:cs="Times New Roman"/>
          <w:b w:val="0"/>
          <w:bCs/>
          <w:color w:val="auto"/>
          <w:kern w:val="2"/>
          <w:szCs w:val="21"/>
          <w:lang w:val="en-US" w:eastAsia="zh-CN" w:bidi="ar-SA"/>
        </w:rPr>
        <w:t xml:space="preserve"> </w:t>
      </w:r>
      <w:r>
        <w:rPr>
          <w:rFonts w:hint="default" w:ascii="Times New Roman" w:hAnsi="Times New Roman" w:cs="Times New Roman"/>
          <w:b w:val="0"/>
          <w:bCs/>
          <w:color w:val="auto"/>
          <w:kern w:val="2"/>
          <w:szCs w:val="21"/>
          <w:lang w:val="en-US" w:eastAsia="zh-CN" w:bidi="ar-SA"/>
        </w:rPr>
        <w:t>患者安全文化：采用汉化版门诊患者安全文化调查问卷（MOSPSC）</w:t>
      </w:r>
      <w:r>
        <w:rPr>
          <w:rFonts w:hint="default" w:ascii="Times New Roman" w:hAnsi="Times New Roman" w:cs="Times New Roman"/>
          <w:b w:val="0"/>
          <w:bCs/>
          <w:color w:val="auto"/>
          <w:kern w:val="2"/>
          <w:szCs w:val="21"/>
          <w:vertAlign w:val="superscript"/>
          <w:lang w:val="en-US" w:eastAsia="zh-CN" w:bidi="ar-SA"/>
        </w:rPr>
        <w:t>[5]</w:t>
      </w:r>
      <w:r>
        <w:rPr>
          <w:rFonts w:hint="default" w:ascii="Times New Roman" w:hAnsi="Times New Roman" w:cs="Times New Roman"/>
          <w:b w:val="0"/>
          <w:bCs/>
          <w:color w:val="auto"/>
          <w:kern w:val="2"/>
          <w:szCs w:val="21"/>
          <w:lang w:val="en-US" w:eastAsia="zh-CN" w:bidi="ar-SA"/>
        </w:rPr>
        <w:t>评价，</w:t>
      </w:r>
      <w:r>
        <w:rPr>
          <w:rFonts w:hint="default" w:ascii="Times New Roman" w:hAnsi="Times New Roman" w:eastAsia="宋体" w:cs="Times New Roman"/>
          <w:b w:val="0"/>
          <w:bCs/>
          <w:color w:val="auto"/>
          <w:sz w:val="21"/>
          <w:szCs w:val="21"/>
          <w:highlight w:val="none"/>
          <w:lang w:eastAsia="zh-CN"/>
        </w:rPr>
        <w:t>Cronbach's</w:t>
      </w:r>
      <w:r>
        <w:rPr>
          <w:rFonts w:hint="default" w:ascii="Times New Roman" w:hAnsi="Times New Roman" w:cs="Times New Roman"/>
          <w:b w:val="0"/>
          <w:bCs/>
          <w:color w:val="auto"/>
          <w:kern w:val="2"/>
          <w:szCs w:val="21"/>
          <w:lang w:val="en-US" w:eastAsia="zh-CN" w:bidi="ar-SA"/>
        </w:rPr>
        <w:t>系数0.901~0.978。该量表共计10个维度38个条目，分别为团队合作、工作压力及节奏、员工培训、工作流程及标准化、开放的沟通、患者照护追踪/随访、关于差错交流、管理层对患者安全支持、组织学习、对患者安全及质量总体感知，除组织学习及员工培训3个条目，其余均为4个条目，采用5级评分，总分38~190分，分数越高患者安全文化水平越高。</w:t>
      </w:r>
    </w:p>
    <w:p w14:paraId="1E58B91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color w:val="auto"/>
          <w:kern w:val="2"/>
          <w:szCs w:val="21"/>
          <w:lang w:val="en-US" w:eastAsia="zh-CN" w:bidi="ar-SA"/>
        </w:rPr>
      </w:pPr>
      <w:r>
        <w:rPr>
          <w:rFonts w:hint="default" w:ascii="Times New Roman" w:hAnsi="Times New Roman" w:eastAsia="宋体" w:cs="Times New Roman"/>
          <w:b w:val="0"/>
          <w:bCs/>
          <w:color w:val="auto"/>
          <w:kern w:val="2"/>
          <w:szCs w:val="21"/>
          <w:lang w:val="en-US" w:eastAsia="zh-CN" w:bidi="ar-SA"/>
        </w:rPr>
        <w:t>患者满意度：采用李小卫</w:t>
      </w:r>
      <w:r>
        <w:rPr>
          <w:rFonts w:hint="default" w:ascii="Times New Roman" w:hAnsi="Times New Roman" w:cs="Times New Roman"/>
          <w:b w:val="0"/>
          <w:bCs/>
          <w:color w:val="auto"/>
          <w:kern w:val="2"/>
          <w:szCs w:val="21"/>
          <w:lang w:val="en-US" w:eastAsia="zh-CN" w:bidi="ar-SA"/>
        </w:rPr>
        <w:t>等</w:t>
      </w:r>
      <w:r>
        <w:rPr>
          <w:rFonts w:hint="default" w:ascii="Times New Roman" w:hAnsi="Times New Roman" w:cs="Times New Roman"/>
          <w:b w:val="0"/>
          <w:bCs/>
          <w:color w:val="auto"/>
          <w:kern w:val="2"/>
          <w:szCs w:val="21"/>
          <w:vertAlign w:val="superscript"/>
          <w:lang w:val="en-US" w:eastAsia="zh-CN" w:bidi="ar-SA"/>
        </w:rPr>
        <w:t>[6]</w:t>
      </w:r>
      <w:r>
        <w:rPr>
          <w:rFonts w:hint="default" w:ascii="Times New Roman" w:hAnsi="Times New Roman" w:cs="Times New Roman"/>
          <w:b w:val="0"/>
          <w:bCs/>
          <w:color w:val="auto"/>
          <w:kern w:val="2"/>
          <w:szCs w:val="21"/>
          <w:lang w:val="en-US" w:eastAsia="zh-CN" w:bidi="ar-SA"/>
        </w:rPr>
        <w:t>编制的门诊患者满意度问卷评价，</w:t>
      </w:r>
      <w:r>
        <w:rPr>
          <w:rFonts w:hint="default" w:ascii="Times New Roman" w:hAnsi="Times New Roman" w:eastAsia="宋体" w:cs="Times New Roman"/>
          <w:b w:val="0"/>
          <w:bCs/>
          <w:color w:val="auto"/>
          <w:sz w:val="21"/>
          <w:szCs w:val="21"/>
          <w:highlight w:val="none"/>
          <w:lang w:eastAsia="zh-CN"/>
        </w:rPr>
        <w:t>Cronbach's</w:t>
      </w:r>
      <w:r>
        <w:rPr>
          <w:rFonts w:hint="default" w:ascii="Times New Roman" w:hAnsi="Times New Roman" w:cs="Times New Roman"/>
          <w:b w:val="0"/>
          <w:bCs/>
          <w:color w:val="auto"/>
          <w:kern w:val="2"/>
          <w:szCs w:val="21"/>
          <w:lang w:val="en-US" w:eastAsia="zh-CN" w:bidi="ar-SA"/>
        </w:rPr>
        <w:t>系数0.905。该量表共计6个维度15个条目，分别为诊疗、医院环境、辅助检查、挂号/候诊、取药及缴费、投诉，依次为4、3、2、3、2、1个条目，采用5级评分，总分15~75分，分数越高满意度越高。</w:t>
      </w:r>
    </w:p>
    <w:p w14:paraId="6BAF46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1.4统计学方法</w:t>
      </w:r>
    </w:p>
    <w:p w14:paraId="0466D2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SPSS26.0软件分析，计量资料以</w:t>
      </w:r>
      <w:r>
        <w:rPr>
          <w:rFonts w:hint="default" w:ascii="Times New Roman" w:hAnsi="Times New Roman" w:eastAsia="宋体" w:cs="Times New Roman"/>
          <w:color w:val="auto"/>
          <w:kern w:val="0"/>
          <w:sz w:val="21"/>
          <w:szCs w:val="21"/>
          <w:highlight w:val="none"/>
          <w:lang w:val="en-US" w:eastAsia="zh-CN" w:bidi="ar-SA"/>
        </w:rPr>
        <w:t>（</w:t>
      </w:r>
      <w:r>
        <w:rPr>
          <w:rFonts w:hint="default" w:ascii="Times New Roman" w:hAnsi="Times New Roman" w:eastAsia="宋体" w:cs="Times New Roman"/>
          <w:b/>
          <w:bCs/>
          <w:i/>
          <w:iCs/>
          <w:color w:val="auto"/>
          <w:kern w:val="2"/>
          <w:position w:val="-6"/>
          <w:sz w:val="21"/>
          <w:szCs w:val="21"/>
          <w:highlight w:val="none"/>
          <w:lang w:val="en-US" w:eastAsia="zh-CN" w:bidi="ar-SA"/>
        </w:rPr>
        <w:object>
          <v:shape id="_x0000_i1025" o:spt="75" type="#_x0000_t75" style="height:12.45pt;width:26.3pt;" o:ole="t" fillcolor="#000011" filled="f" o:preferrelative="t" stroked="f" coordsize="21600,21600">
            <v:path/>
            <v:fill on="f" focussize="0,0"/>
            <v:stroke on="f"/>
            <v:imagedata r:id="rId8" o:title=""/>
            <o:lock v:ext="edit" grouping="f" rotation="f" text="f" aspectratio="t"/>
            <w10:wrap type="none"/>
            <w10:anchorlock/>
          </v:shape>
          <o:OLEObject Type="Embed" ProgID="Equation.3" ShapeID="_x0000_i1025" DrawAspect="Content" ObjectID="_1468075725" r:id="rId7">
            <o:LockedField>false</o:LockedField>
          </o:OLEObject>
        </w:object>
      </w:r>
      <w:r>
        <w:rPr>
          <w:rFonts w:hint="default" w:ascii="Times New Roman" w:hAnsi="Times New Roman" w:eastAsia="宋体" w:cs="Times New Roman"/>
          <w:color w:val="auto"/>
          <w:kern w:val="0"/>
          <w:sz w:val="21"/>
          <w:szCs w:val="21"/>
          <w:highlight w:val="none"/>
          <w:lang w:val="en-US" w:eastAsia="zh-CN" w:bidi="ar-SA"/>
        </w:rPr>
        <w:t>）描述，</w:t>
      </w:r>
      <w:r>
        <w:rPr>
          <w:rFonts w:hint="default" w:ascii="Times New Roman" w:hAnsi="Times New Roman" w:eastAsia="宋体" w:cs="Times New Roman"/>
          <w:i/>
          <w:iCs/>
          <w:color w:val="auto"/>
          <w:kern w:val="2"/>
          <w:sz w:val="21"/>
          <w:szCs w:val="21"/>
          <w:lang w:val="en-US" w:eastAsia="zh-CN" w:bidi="ar-SA"/>
        </w:rPr>
        <w:t xml:space="preserve">t </w:t>
      </w:r>
      <w:r>
        <w:rPr>
          <w:rFonts w:hint="default" w:ascii="Times New Roman" w:hAnsi="Times New Roman" w:eastAsia="宋体" w:cs="Times New Roman"/>
          <w:color w:val="auto"/>
          <w:kern w:val="2"/>
          <w:sz w:val="21"/>
          <w:szCs w:val="21"/>
          <w:lang w:val="en-US" w:eastAsia="zh-CN" w:bidi="ar-SA"/>
        </w:rPr>
        <w:t>检验，计数资料以</w:t>
      </w:r>
      <w:r>
        <w:rPr>
          <w:rFonts w:hint="default"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i/>
          <w:iCs/>
          <w:color w:val="auto"/>
          <w:kern w:val="2"/>
          <w:sz w:val="21"/>
          <w:szCs w:val="21"/>
          <w:highlight w:val="none"/>
          <w:lang w:val="en-US" w:eastAsia="zh-CN" w:bidi="ar-SA"/>
        </w:rPr>
        <w:t>n</w:t>
      </w:r>
      <w:r>
        <w:rPr>
          <w:rFonts w:hint="default"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lang w:val="en-US" w:eastAsia="zh-CN" w:bidi="ar-SA"/>
        </w:rPr>
        <w:t>描述，</w:t>
      </w:r>
      <w:r>
        <w:rPr>
          <w:rFonts w:hint="default" w:ascii="Times New Roman" w:hAnsi="Times New Roman" w:eastAsia="宋体" w:cs="Times New Roman"/>
          <w:i/>
          <w:color w:val="auto"/>
          <w:kern w:val="2"/>
          <w:sz w:val="21"/>
          <w:szCs w:val="21"/>
          <w:lang w:val="en-US" w:eastAsia="zh-CN" w:bidi="ar-SA"/>
        </w:rPr>
        <w:t>χ</w:t>
      </w:r>
      <w:r>
        <w:rPr>
          <w:rFonts w:hint="default" w:ascii="Times New Roman" w:hAnsi="Times New Roman" w:eastAsia="宋体" w:cs="Times New Roman"/>
          <w:i/>
          <w:color w:val="auto"/>
          <w:kern w:val="2"/>
          <w:sz w:val="21"/>
          <w:szCs w:val="21"/>
          <w:vertAlign w:val="superscript"/>
          <w:lang w:val="en-US" w:eastAsia="zh-CN" w:bidi="ar-SA"/>
        </w:rPr>
        <w:t>2</w:t>
      </w:r>
      <w:r>
        <w:rPr>
          <w:rFonts w:hint="default" w:ascii="Times New Roman" w:hAnsi="Times New Roman" w:eastAsia="宋体" w:cs="Times New Roman"/>
          <w:color w:val="auto"/>
          <w:kern w:val="2"/>
          <w:sz w:val="21"/>
          <w:szCs w:val="21"/>
          <w:lang w:val="en-US" w:eastAsia="zh-CN" w:bidi="ar-SA"/>
        </w:rPr>
        <w:t>检验</w:t>
      </w:r>
      <w:r>
        <w:rPr>
          <w:rFonts w:hint="eastAsia" w:ascii="Times New Roman" w:hAnsi="Times New Roman"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&lt;0.05为差异有统计学意义。</w:t>
      </w:r>
    </w:p>
    <w:p w14:paraId="6A559EC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b/>
          <w:color w:val="auto"/>
          <w:kern w:val="2"/>
          <w:sz w:val="28"/>
          <w:szCs w:val="28"/>
          <w:lang w:val="en-US" w:eastAsia="zh-CN" w:bidi="ar-SA"/>
        </w:rPr>
      </w:pPr>
      <w:r>
        <w:rPr>
          <w:rFonts w:hint="default" w:ascii="Times New Roman" w:hAnsi="Times New Roman" w:eastAsia="黑体" w:cs="Times New Roman"/>
          <w:b/>
          <w:color w:val="auto"/>
          <w:kern w:val="2"/>
          <w:sz w:val="28"/>
          <w:szCs w:val="28"/>
          <w:lang w:val="en-US" w:eastAsia="zh-CN" w:bidi="ar-SA"/>
        </w:rPr>
        <w:t>2 结果</w:t>
      </w:r>
    </w:p>
    <w:p w14:paraId="01CC6D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2.1</w:t>
      </w:r>
      <w:r>
        <w:rPr>
          <w:rFonts w:hint="default" w:ascii="Times New Roman" w:hAnsi="Times New Roman" w:cs="Times New Roman"/>
          <w:b/>
          <w:color w:val="auto"/>
          <w:kern w:val="2"/>
          <w:szCs w:val="21"/>
          <w:lang w:val="en-US" w:eastAsia="zh-CN" w:bidi="ar-SA"/>
        </w:rPr>
        <w:t>实施前后门诊</w:t>
      </w:r>
      <w:r>
        <w:rPr>
          <w:rFonts w:hint="eastAsia" w:cs="Times New Roman"/>
          <w:b/>
          <w:color w:val="0000FF"/>
          <w:kern w:val="2"/>
          <w:szCs w:val="21"/>
          <w:lang w:val="en-US" w:eastAsia="zh-CN" w:bidi="ar-SA"/>
        </w:rPr>
        <w:t>壮瑶医非药物疗法比例</w:t>
      </w:r>
      <w:r>
        <w:rPr>
          <w:rFonts w:hint="default" w:ascii="Times New Roman" w:hAnsi="Times New Roman" w:cs="Times New Roman"/>
          <w:b/>
          <w:color w:val="auto"/>
          <w:kern w:val="2"/>
          <w:szCs w:val="21"/>
          <w:lang w:val="en-US" w:eastAsia="zh-CN" w:bidi="ar-SA"/>
        </w:rPr>
        <w:t>比较</w:t>
      </w:r>
    </w:p>
    <w:p w14:paraId="508B8E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color w:val="auto"/>
          <w:kern w:val="2"/>
          <w:szCs w:val="21"/>
          <w:lang w:val="en-US" w:eastAsia="zh-CN" w:bidi="ar-SA"/>
        </w:rPr>
      </w:pPr>
      <w:r>
        <w:rPr>
          <w:rFonts w:hint="eastAsia" w:ascii="Times New Roman" w:hAnsi="Times New Roman" w:cs="Times New Roman"/>
          <w:b/>
          <w:color w:val="auto"/>
          <w:kern w:val="2"/>
          <w:szCs w:val="21"/>
          <w:lang w:val="en-US" w:eastAsia="zh-CN" w:bidi="ar-SA"/>
        </w:rPr>
        <w:t xml:space="preserve">     </w:t>
      </w:r>
      <w:r>
        <w:rPr>
          <w:rFonts w:hint="default" w:ascii="Times New Roman" w:hAnsi="Times New Roman" w:cs="Times New Roman"/>
          <w:color w:val="auto"/>
          <w:kern w:val="2"/>
          <w:sz w:val="21"/>
          <w:szCs w:val="21"/>
          <w:lang w:val="en-US" w:eastAsia="zh-CN" w:bidi="ar-SA"/>
        </w:rPr>
        <w:t>观察组</w:t>
      </w:r>
      <w:r>
        <w:commentReference w:id="18"/>
      </w:r>
      <w:r>
        <w:rPr>
          <w:rFonts w:hint="eastAsia" w:cs="Times New Roman"/>
          <w:color w:val="0000FF"/>
          <w:lang w:eastAsia="zh-CN"/>
        </w:rPr>
        <w:t>壮瑶医</w:t>
      </w:r>
      <w:r>
        <w:rPr>
          <w:rFonts w:hint="default" w:ascii="Times New Roman" w:hAnsi="Times New Roman" w:cs="Times New Roman"/>
          <w:color w:val="auto"/>
          <w:kern w:val="2"/>
          <w:sz w:val="21"/>
          <w:szCs w:val="21"/>
          <w:lang w:val="en-US" w:eastAsia="zh-CN" w:bidi="ar-SA"/>
        </w:rPr>
        <w:t>非药物疗法</w:t>
      </w:r>
      <w:r>
        <w:rPr>
          <w:rFonts w:hint="eastAsia" w:cs="Times New Roman"/>
          <w:color w:val="auto"/>
          <w:kern w:val="2"/>
          <w:sz w:val="21"/>
          <w:szCs w:val="21"/>
          <w:lang w:val="en-US" w:eastAsia="zh-CN" w:bidi="ar-SA"/>
        </w:rPr>
        <w:t>使用率52.00%（65/125）高于对照组</w:t>
      </w:r>
      <w:r>
        <w:rPr>
          <w:rFonts w:hint="default" w:ascii="Times New Roman" w:hAnsi="Times New Roman" w:cs="Times New Roman"/>
          <w:color w:val="auto"/>
          <w:sz w:val="21"/>
          <w:szCs w:val="21"/>
          <w:highlight w:val="none"/>
          <w:lang w:val="en-US" w:eastAsia="zh-CN"/>
        </w:rPr>
        <w:t>38.89</w:t>
      </w:r>
      <w:r>
        <w:rPr>
          <w:rFonts w:hint="eastAsia" w:cs="Times New Roman"/>
          <w:color w:val="auto"/>
          <w:sz w:val="21"/>
          <w:szCs w:val="21"/>
          <w:highlight w:val="none"/>
          <w:lang w:val="en-US" w:eastAsia="zh-CN"/>
        </w:rPr>
        <w:t>%</w:t>
      </w:r>
      <w:r>
        <w:rPr>
          <w:rFonts w:hint="eastAsia" w:cs="Times New Roman"/>
          <w:color w:val="auto"/>
          <w:kern w:val="2"/>
          <w:sz w:val="21"/>
          <w:szCs w:val="21"/>
          <w:lang w:val="en-US" w:eastAsia="zh-CN" w:bidi="ar-SA"/>
        </w:rPr>
        <w:t>（49/126）（</w:t>
      </w:r>
      <w:r>
        <w:rPr>
          <w:rFonts w:hint="default" w:ascii="Times New Roman" w:hAnsi="Times New Roman" w:eastAsia="宋体" w:cs="Times New Roman"/>
          <w:i/>
          <w:iCs w:val="0"/>
          <w:color w:val="auto"/>
          <w:kern w:val="2"/>
          <w:szCs w:val="21"/>
          <w:lang w:val="en-US" w:eastAsia="zh-CN" w:bidi="ar-SA"/>
        </w:rPr>
        <w:t>χ</w:t>
      </w:r>
      <w:r>
        <w:rPr>
          <w:rFonts w:hint="default" w:ascii="Times New Roman" w:hAnsi="Times New Roman" w:eastAsia="宋体" w:cs="Times New Roman"/>
          <w:i/>
          <w:iCs w:val="0"/>
          <w:color w:val="auto"/>
          <w:kern w:val="2"/>
          <w:szCs w:val="21"/>
          <w:vertAlign w:val="superscript"/>
          <w:lang w:val="en-US" w:eastAsia="zh-CN" w:bidi="ar-SA"/>
        </w:rPr>
        <w:t>2</w:t>
      </w:r>
      <w:r>
        <w:rPr>
          <w:rFonts w:hint="eastAsia" w:cs="Times New Roman"/>
          <w:color w:val="auto"/>
          <w:kern w:val="2"/>
          <w:sz w:val="21"/>
          <w:szCs w:val="21"/>
          <w:lang w:val="en-US" w:eastAsia="zh-CN" w:bidi="ar-SA"/>
        </w:rPr>
        <w:t>=</w:t>
      </w:r>
      <w:r>
        <w:rPr>
          <w:rFonts w:hint="default" w:ascii="Times New Roman" w:hAnsi="Times New Roman" w:cs="Times New Roman"/>
          <w:color w:val="auto"/>
          <w:sz w:val="21"/>
          <w:szCs w:val="21"/>
          <w:highlight w:val="none"/>
          <w:lang w:val="en-US" w:eastAsia="zh-CN"/>
        </w:rPr>
        <w:t>4.351</w:t>
      </w:r>
      <w:r>
        <w:rPr>
          <w:rFonts w:hint="eastAsia"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w:t>
      </w:r>
      <w:r>
        <w:rPr>
          <w:rFonts w:hint="eastAsia" w:cs="Times New Roman"/>
          <w:color w:val="auto"/>
          <w:kern w:val="2"/>
          <w:sz w:val="21"/>
          <w:szCs w:val="21"/>
          <w:lang w:val="en-US" w:eastAsia="zh-CN" w:bidi="ar-SA"/>
        </w:rPr>
        <w:t>）。</w:t>
      </w:r>
    </w:p>
    <w:p w14:paraId="64DE90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2.2</w:t>
      </w:r>
      <w:r>
        <w:rPr>
          <w:rFonts w:hint="default" w:ascii="Times New Roman" w:hAnsi="Times New Roman" w:cs="Times New Roman"/>
          <w:b/>
          <w:color w:val="auto"/>
          <w:kern w:val="2"/>
          <w:szCs w:val="21"/>
          <w:lang w:val="en-US" w:eastAsia="zh-CN" w:bidi="ar-SA"/>
        </w:rPr>
        <w:t>实施前后患者安全度比较</w:t>
      </w:r>
    </w:p>
    <w:p w14:paraId="37D023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b/>
          <w:color w:val="auto"/>
          <w:kern w:val="2"/>
          <w:szCs w:val="21"/>
          <w:lang w:val="en-US" w:eastAsia="zh-CN" w:bidi="ar-SA"/>
        </w:rPr>
      </w:pPr>
      <w:r>
        <w:rPr>
          <w:rFonts w:hint="eastAsia" w:cs="Times New Roman"/>
          <w:b w:val="0"/>
          <w:bCs/>
          <w:color w:val="auto"/>
          <w:kern w:val="2"/>
          <w:szCs w:val="21"/>
          <w:lang w:val="en-US" w:eastAsia="zh-CN" w:bidi="ar-SA"/>
        </w:rPr>
        <w:t>观察组各项患者安全度评分均高于对照组</w:t>
      </w:r>
      <w:r>
        <w:rPr>
          <w:rFonts w:hint="default"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w:t>
      </w:r>
      <w:r>
        <w:rPr>
          <w:rFonts w:hint="eastAsia" w:cs="Times New Roman"/>
          <w:color w:val="auto"/>
          <w:kern w:val="2"/>
          <w:sz w:val="21"/>
          <w:szCs w:val="21"/>
          <w:lang w:val="en-US" w:eastAsia="zh-CN" w:bidi="ar-SA"/>
        </w:rPr>
        <w:t>，见表1。</w:t>
      </w:r>
    </w:p>
    <w:p w14:paraId="31092F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表</w:t>
      </w:r>
      <w:r>
        <w:rPr>
          <w:rFonts w:hint="eastAsia" w:cs="Times New Roman"/>
          <w:b/>
          <w:color w:val="auto"/>
          <w:kern w:val="2"/>
          <w:szCs w:val="21"/>
          <w:lang w:val="en-US" w:eastAsia="zh-CN" w:bidi="ar-SA"/>
        </w:rPr>
        <w:t>1</w:t>
      </w:r>
      <w:r>
        <w:rPr>
          <w:rFonts w:hint="default" w:ascii="Times New Roman" w:hAnsi="Times New Roman" w:eastAsia="宋体" w:cs="Times New Roman"/>
          <w:b/>
          <w:color w:val="auto"/>
          <w:kern w:val="2"/>
          <w:szCs w:val="21"/>
          <w:lang w:val="en-US" w:eastAsia="zh-CN" w:bidi="ar-SA"/>
        </w:rPr>
        <w:t xml:space="preserve"> </w:t>
      </w:r>
      <w:r>
        <w:rPr>
          <w:rFonts w:hint="default" w:ascii="Times New Roman" w:hAnsi="Times New Roman" w:cs="Times New Roman"/>
          <w:b/>
          <w:color w:val="auto"/>
          <w:kern w:val="2"/>
          <w:szCs w:val="21"/>
          <w:lang w:val="en-US" w:eastAsia="zh-CN" w:bidi="ar-SA"/>
        </w:rPr>
        <w:t>实施前后患者安全度比较</w:t>
      </w:r>
      <w:r>
        <w:rPr>
          <w:rFonts w:hint="default" w:ascii="Times New Roman" w:hAnsi="Times New Roman" w:eastAsia="宋体" w:cs="Times New Roman"/>
          <w:b/>
          <w:color w:val="auto"/>
          <w:kern w:val="2"/>
          <w:szCs w:val="21"/>
          <w:lang w:val="en-US" w:eastAsia="zh-CN" w:bidi="ar-SA"/>
        </w:rPr>
        <w:t>（</w:t>
      </w:r>
      <w:r>
        <w:rPr>
          <w:rFonts w:hint="default" w:ascii="Times New Roman" w:hAnsi="Times New Roman" w:eastAsia="宋体" w:cs="Times New Roman"/>
          <w:b/>
          <w:color w:val="auto"/>
          <w:kern w:val="2"/>
          <w:position w:val="-6"/>
          <w:szCs w:val="21"/>
          <w:lang w:val="en-US" w:eastAsia="zh-CN" w:bidi="ar-SA"/>
        </w:rPr>
        <w:object>
          <v:shape id="_x0000_i1026" o:spt="75" type="#_x0000_t75" style="height:14.4pt;width:27pt;" o:ole="t" filled="f" o:preferrelative="t" stroked="f" coordsize="21600,21600">
            <v:path/>
            <v:fill on="f" focussize="0,0"/>
            <v:stroke on="f"/>
            <v:imagedata r:id="rId10" o:title=""/>
            <o:lock v:ext="edit" grouping="f" rotation="f" text="f" aspectratio="t"/>
            <w10:wrap type="none"/>
            <w10:anchorlock/>
          </v:shape>
          <o:OLEObject Type="Embed" ProgID="Equation.3" ShapeID="_x0000_i1026" DrawAspect="Content" ObjectID="_1468075726" r:id="rId9">
            <o:LockedField>false</o:LockedField>
          </o:OLEObject>
        </w:object>
      </w:r>
      <w:r>
        <w:rPr>
          <w:rFonts w:hint="eastAsia" w:ascii="Times New Roman" w:hAnsi="Times New Roman" w:cs="Times New Roman"/>
          <w:b/>
          <w:color w:val="auto"/>
          <w:kern w:val="2"/>
          <w:position w:val="-6"/>
          <w:szCs w:val="21"/>
          <w:lang w:val="en-US" w:eastAsia="zh-CN" w:bidi="ar-SA"/>
        </w:rPr>
        <w:t>，分</w:t>
      </w:r>
      <w:r>
        <w:rPr>
          <w:rFonts w:hint="default" w:ascii="Times New Roman" w:hAnsi="Times New Roman" w:eastAsia="宋体" w:cs="Times New Roman"/>
          <w:b/>
          <w:color w:val="auto"/>
          <w:kern w:val="2"/>
          <w:szCs w:val="21"/>
          <w:lang w:val="en-US" w:eastAsia="zh-CN" w:bidi="ar-SA"/>
        </w:rPr>
        <w:t>）</w:t>
      </w:r>
    </w:p>
    <w:tbl>
      <w:tblPr>
        <w:tblStyle w:val="4"/>
        <w:tblW w:w="10069" w:type="dxa"/>
        <w:tblInd w:w="-289"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6"/>
        <w:gridCol w:w="548"/>
        <w:gridCol w:w="723"/>
        <w:gridCol w:w="741"/>
        <w:gridCol w:w="738"/>
        <w:gridCol w:w="738"/>
        <w:gridCol w:w="738"/>
        <w:gridCol w:w="738"/>
        <w:gridCol w:w="738"/>
        <w:gridCol w:w="855"/>
        <w:gridCol w:w="690"/>
        <w:gridCol w:w="969"/>
        <w:gridCol w:w="1037"/>
      </w:tblGrid>
      <w:tr w14:paraId="6F0237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2" w:hRule="atLeast"/>
        </w:trPr>
        <w:tc>
          <w:tcPr>
            <w:tcW w:w="816" w:type="dxa"/>
            <w:tcBorders>
              <w:bottom w:val="single" w:color="auto" w:sz="4" w:space="0"/>
              <w:tl2br w:val="nil"/>
              <w:tr2bl w:val="nil"/>
            </w:tcBorders>
            <w:noWrap w:val="0"/>
            <w:vAlign w:val="top"/>
          </w:tcPr>
          <w:p w14:paraId="1E8868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组别</w:t>
            </w:r>
          </w:p>
        </w:tc>
        <w:tc>
          <w:tcPr>
            <w:tcW w:w="548" w:type="dxa"/>
            <w:tcBorders>
              <w:bottom w:val="single" w:color="auto" w:sz="4" w:space="0"/>
              <w:tl2br w:val="nil"/>
              <w:tr2bl w:val="nil"/>
            </w:tcBorders>
            <w:noWrap w:val="0"/>
            <w:vAlign w:val="top"/>
          </w:tcPr>
          <w:p w14:paraId="7B330C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例数</w:t>
            </w:r>
          </w:p>
        </w:tc>
        <w:tc>
          <w:tcPr>
            <w:tcW w:w="723" w:type="dxa"/>
            <w:tcBorders>
              <w:bottom w:val="single" w:color="auto" w:sz="4" w:space="0"/>
              <w:tl2br w:val="nil"/>
              <w:tr2bl w:val="nil"/>
            </w:tcBorders>
            <w:noWrap w:val="0"/>
            <w:vAlign w:val="top"/>
          </w:tcPr>
          <w:p w14:paraId="00C3C1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团队合作</w:t>
            </w:r>
          </w:p>
        </w:tc>
        <w:tc>
          <w:tcPr>
            <w:tcW w:w="741" w:type="dxa"/>
            <w:tcBorders>
              <w:bottom w:val="single" w:color="auto" w:sz="4" w:space="0"/>
              <w:tl2br w:val="nil"/>
              <w:tr2bl w:val="nil"/>
            </w:tcBorders>
            <w:noWrap w:val="0"/>
            <w:vAlign w:val="top"/>
          </w:tcPr>
          <w:p w14:paraId="565974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工作压力及节奏</w:t>
            </w:r>
          </w:p>
        </w:tc>
        <w:tc>
          <w:tcPr>
            <w:tcW w:w="738" w:type="dxa"/>
            <w:tcBorders>
              <w:bottom w:val="single" w:color="auto" w:sz="4" w:space="0"/>
              <w:tl2br w:val="nil"/>
              <w:tr2bl w:val="nil"/>
            </w:tcBorders>
            <w:noWrap w:val="0"/>
            <w:vAlign w:val="top"/>
          </w:tcPr>
          <w:p w14:paraId="0D2B1D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员工培训</w:t>
            </w:r>
          </w:p>
        </w:tc>
        <w:tc>
          <w:tcPr>
            <w:tcW w:w="738" w:type="dxa"/>
            <w:tcBorders>
              <w:bottom w:val="single" w:color="auto" w:sz="4" w:space="0"/>
              <w:tl2br w:val="nil"/>
              <w:tr2bl w:val="nil"/>
            </w:tcBorders>
            <w:noWrap w:val="0"/>
            <w:vAlign w:val="top"/>
          </w:tcPr>
          <w:p w14:paraId="007F8C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工作流程及标准化</w:t>
            </w:r>
          </w:p>
        </w:tc>
        <w:tc>
          <w:tcPr>
            <w:tcW w:w="738" w:type="dxa"/>
            <w:tcBorders>
              <w:bottom w:val="single" w:color="auto" w:sz="4" w:space="0"/>
              <w:tl2br w:val="nil"/>
              <w:tr2bl w:val="nil"/>
            </w:tcBorders>
            <w:noWrap w:val="0"/>
            <w:vAlign w:val="top"/>
          </w:tcPr>
          <w:p w14:paraId="4D842A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开放的沟通</w:t>
            </w:r>
          </w:p>
        </w:tc>
        <w:tc>
          <w:tcPr>
            <w:tcW w:w="738" w:type="dxa"/>
            <w:tcBorders>
              <w:bottom w:val="single" w:color="auto" w:sz="4" w:space="0"/>
              <w:tl2br w:val="nil"/>
              <w:tr2bl w:val="nil"/>
            </w:tcBorders>
            <w:noWrap w:val="0"/>
            <w:vAlign w:val="top"/>
          </w:tcPr>
          <w:p w14:paraId="5C4F8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患者照护追踪/随访</w:t>
            </w:r>
          </w:p>
        </w:tc>
        <w:tc>
          <w:tcPr>
            <w:tcW w:w="738" w:type="dxa"/>
            <w:tcBorders>
              <w:bottom w:val="single" w:color="auto" w:sz="4" w:space="0"/>
              <w:tl2br w:val="nil"/>
              <w:tr2bl w:val="nil"/>
            </w:tcBorders>
            <w:noWrap w:val="0"/>
            <w:vAlign w:val="top"/>
          </w:tcPr>
          <w:p w14:paraId="209555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关于差错交流</w:t>
            </w:r>
          </w:p>
        </w:tc>
        <w:tc>
          <w:tcPr>
            <w:tcW w:w="855" w:type="dxa"/>
            <w:tcBorders>
              <w:bottom w:val="single" w:color="auto" w:sz="4" w:space="0"/>
              <w:tl2br w:val="nil"/>
              <w:tr2bl w:val="nil"/>
            </w:tcBorders>
            <w:noWrap w:val="0"/>
            <w:vAlign w:val="top"/>
          </w:tcPr>
          <w:p w14:paraId="30B1ED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管理层对患者安全支持</w:t>
            </w:r>
          </w:p>
        </w:tc>
        <w:tc>
          <w:tcPr>
            <w:tcW w:w="690" w:type="dxa"/>
            <w:tcBorders>
              <w:bottom w:val="single" w:color="auto" w:sz="4" w:space="0"/>
              <w:tl2br w:val="nil"/>
              <w:tr2bl w:val="nil"/>
            </w:tcBorders>
            <w:noWrap w:val="0"/>
            <w:vAlign w:val="top"/>
          </w:tcPr>
          <w:p w14:paraId="2A1FF2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组织学习</w:t>
            </w:r>
          </w:p>
        </w:tc>
        <w:tc>
          <w:tcPr>
            <w:tcW w:w="969" w:type="dxa"/>
            <w:tcBorders>
              <w:bottom w:val="single" w:color="auto" w:sz="4" w:space="0"/>
              <w:tl2br w:val="nil"/>
              <w:tr2bl w:val="nil"/>
            </w:tcBorders>
            <w:noWrap w:val="0"/>
            <w:vAlign w:val="top"/>
          </w:tcPr>
          <w:p w14:paraId="02E14C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对患者安全及质量总体感知</w:t>
            </w:r>
          </w:p>
        </w:tc>
        <w:tc>
          <w:tcPr>
            <w:tcW w:w="1037" w:type="dxa"/>
            <w:tcBorders>
              <w:bottom w:val="single" w:color="auto" w:sz="4" w:space="0"/>
              <w:tl2br w:val="nil"/>
              <w:tr2bl w:val="nil"/>
            </w:tcBorders>
            <w:noWrap w:val="0"/>
            <w:vAlign w:val="top"/>
          </w:tcPr>
          <w:p w14:paraId="670D06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总分</w:t>
            </w:r>
          </w:p>
        </w:tc>
      </w:tr>
      <w:tr w14:paraId="2B70F0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trPr>
        <w:tc>
          <w:tcPr>
            <w:tcW w:w="816" w:type="dxa"/>
            <w:tcBorders>
              <w:top w:val="single" w:color="auto" w:sz="4" w:space="0"/>
              <w:tl2br w:val="nil"/>
              <w:tr2bl w:val="nil"/>
            </w:tcBorders>
            <w:noWrap w:val="0"/>
            <w:vAlign w:val="center"/>
          </w:tcPr>
          <w:p w14:paraId="3F57D9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观察组</w:t>
            </w:r>
          </w:p>
        </w:tc>
        <w:tc>
          <w:tcPr>
            <w:tcW w:w="548" w:type="dxa"/>
            <w:tcBorders>
              <w:top w:val="single" w:color="auto" w:sz="4" w:space="0"/>
              <w:tl2br w:val="nil"/>
              <w:tr2bl w:val="nil"/>
            </w:tcBorders>
            <w:noWrap w:val="0"/>
            <w:vAlign w:val="center"/>
          </w:tcPr>
          <w:p w14:paraId="5E53BE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125</w:t>
            </w:r>
          </w:p>
        </w:tc>
        <w:tc>
          <w:tcPr>
            <w:tcW w:w="723" w:type="dxa"/>
            <w:tcBorders>
              <w:top w:val="single" w:color="auto" w:sz="4" w:space="0"/>
              <w:tl2br w:val="nil"/>
              <w:tr2bl w:val="nil"/>
            </w:tcBorders>
            <w:noWrap w:val="0"/>
            <w:vAlign w:val="center"/>
          </w:tcPr>
          <w:p w14:paraId="1F1D3F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16.32±1.85</w:t>
            </w:r>
          </w:p>
        </w:tc>
        <w:tc>
          <w:tcPr>
            <w:tcW w:w="741" w:type="dxa"/>
            <w:tcBorders>
              <w:top w:val="single" w:color="auto" w:sz="4" w:space="0"/>
              <w:tl2br w:val="nil"/>
              <w:tr2bl w:val="nil"/>
            </w:tcBorders>
            <w:noWrap w:val="0"/>
            <w:vAlign w:val="center"/>
          </w:tcPr>
          <w:p w14:paraId="29CDC2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14.56±2.11</w:t>
            </w:r>
          </w:p>
        </w:tc>
        <w:tc>
          <w:tcPr>
            <w:tcW w:w="738" w:type="dxa"/>
            <w:tcBorders>
              <w:top w:val="single" w:color="auto" w:sz="4" w:space="0"/>
              <w:tl2br w:val="nil"/>
              <w:tr2bl w:val="nil"/>
            </w:tcBorders>
            <w:noWrap w:val="0"/>
            <w:vAlign w:val="center"/>
          </w:tcPr>
          <w:p w14:paraId="1F5122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11.37±1.62</w:t>
            </w:r>
          </w:p>
        </w:tc>
        <w:tc>
          <w:tcPr>
            <w:tcW w:w="738" w:type="dxa"/>
            <w:tcBorders>
              <w:top w:val="single" w:color="auto" w:sz="4" w:space="0"/>
              <w:tl2br w:val="nil"/>
              <w:tr2bl w:val="nil"/>
            </w:tcBorders>
            <w:noWrap w:val="0"/>
            <w:vAlign w:val="center"/>
          </w:tcPr>
          <w:p w14:paraId="71E098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16.85±1.93</w:t>
            </w:r>
          </w:p>
        </w:tc>
        <w:tc>
          <w:tcPr>
            <w:tcW w:w="738" w:type="dxa"/>
            <w:tcBorders>
              <w:top w:val="single" w:color="auto" w:sz="4" w:space="0"/>
              <w:tl2br w:val="nil"/>
              <w:tr2bl w:val="nil"/>
            </w:tcBorders>
            <w:noWrap w:val="0"/>
            <w:vAlign w:val="center"/>
          </w:tcPr>
          <w:p w14:paraId="6F09BE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15.69±2.04</w:t>
            </w:r>
          </w:p>
        </w:tc>
        <w:tc>
          <w:tcPr>
            <w:tcW w:w="738" w:type="dxa"/>
            <w:tcBorders>
              <w:top w:val="single" w:color="auto" w:sz="4" w:space="0"/>
              <w:tl2br w:val="nil"/>
              <w:tr2bl w:val="nil"/>
            </w:tcBorders>
            <w:noWrap w:val="0"/>
            <w:vAlign w:val="center"/>
          </w:tcPr>
          <w:p w14:paraId="08CA4F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17.22±1.87</w:t>
            </w:r>
          </w:p>
        </w:tc>
        <w:tc>
          <w:tcPr>
            <w:tcW w:w="738" w:type="dxa"/>
            <w:tcBorders>
              <w:top w:val="single" w:color="auto" w:sz="4" w:space="0"/>
              <w:tl2br w:val="nil"/>
              <w:tr2bl w:val="nil"/>
            </w:tcBorders>
            <w:noWrap w:val="0"/>
            <w:vAlign w:val="center"/>
          </w:tcPr>
          <w:p w14:paraId="3831DC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15.18±1.96</w:t>
            </w:r>
          </w:p>
        </w:tc>
        <w:tc>
          <w:tcPr>
            <w:tcW w:w="855" w:type="dxa"/>
            <w:tcBorders>
              <w:top w:val="single" w:color="auto" w:sz="4" w:space="0"/>
              <w:tl2br w:val="nil"/>
              <w:tr2bl w:val="nil"/>
            </w:tcBorders>
            <w:noWrap w:val="0"/>
            <w:vAlign w:val="center"/>
          </w:tcPr>
          <w:p w14:paraId="58F2E0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17.63±1.74</w:t>
            </w:r>
          </w:p>
        </w:tc>
        <w:tc>
          <w:tcPr>
            <w:tcW w:w="690" w:type="dxa"/>
            <w:tcBorders>
              <w:top w:val="single" w:color="auto" w:sz="4" w:space="0"/>
              <w:tl2br w:val="nil"/>
              <w:tr2bl w:val="nil"/>
            </w:tcBorders>
            <w:noWrap w:val="0"/>
            <w:vAlign w:val="center"/>
          </w:tcPr>
          <w:p w14:paraId="57E942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12.04±1.53</w:t>
            </w:r>
          </w:p>
        </w:tc>
        <w:tc>
          <w:tcPr>
            <w:tcW w:w="969" w:type="dxa"/>
            <w:tcBorders>
              <w:top w:val="single" w:color="auto" w:sz="4" w:space="0"/>
              <w:tl2br w:val="nil"/>
              <w:tr2bl w:val="nil"/>
            </w:tcBorders>
            <w:noWrap w:val="0"/>
            <w:vAlign w:val="center"/>
          </w:tcPr>
          <w:p w14:paraId="6744E0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16.95±1.81</w:t>
            </w:r>
          </w:p>
        </w:tc>
        <w:tc>
          <w:tcPr>
            <w:tcW w:w="1037" w:type="dxa"/>
            <w:tcBorders>
              <w:top w:val="single" w:color="auto" w:sz="4" w:space="0"/>
              <w:tl2br w:val="nil"/>
              <w:tr2bl w:val="nil"/>
            </w:tcBorders>
            <w:noWrap w:val="0"/>
            <w:vAlign w:val="center"/>
          </w:tcPr>
          <w:p w14:paraId="27B7CA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152.36±18.42</w:t>
            </w:r>
          </w:p>
        </w:tc>
      </w:tr>
      <w:tr w14:paraId="3A8EF9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816" w:type="dxa"/>
            <w:tcBorders>
              <w:tl2br w:val="nil"/>
              <w:tr2bl w:val="nil"/>
            </w:tcBorders>
            <w:noWrap w:val="0"/>
            <w:vAlign w:val="center"/>
          </w:tcPr>
          <w:p w14:paraId="65AD3A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对照组</w:t>
            </w:r>
          </w:p>
        </w:tc>
        <w:tc>
          <w:tcPr>
            <w:tcW w:w="548" w:type="dxa"/>
            <w:tcBorders>
              <w:tl2br w:val="nil"/>
              <w:tr2bl w:val="nil"/>
            </w:tcBorders>
            <w:noWrap w:val="0"/>
            <w:vAlign w:val="center"/>
          </w:tcPr>
          <w:p w14:paraId="0FDFEA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126</w:t>
            </w:r>
          </w:p>
        </w:tc>
        <w:tc>
          <w:tcPr>
            <w:tcW w:w="723" w:type="dxa"/>
            <w:tcBorders>
              <w:tl2br w:val="nil"/>
              <w:tr2bl w:val="nil"/>
            </w:tcBorders>
            <w:noWrap w:val="0"/>
            <w:vAlign w:val="center"/>
          </w:tcPr>
          <w:p w14:paraId="6460EE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13.15±2.03</w:t>
            </w:r>
          </w:p>
        </w:tc>
        <w:tc>
          <w:tcPr>
            <w:tcW w:w="741" w:type="dxa"/>
            <w:tcBorders>
              <w:tl2br w:val="nil"/>
              <w:tr2bl w:val="nil"/>
            </w:tcBorders>
            <w:noWrap w:val="0"/>
            <w:vAlign w:val="center"/>
          </w:tcPr>
          <w:p w14:paraId="5228B1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11.27±2.36</w:t>
            </w:r>
          </w:p>
        </w:tc>
        <w:tc>
          <w:tcPr>
            <w:tcW w:w="738" w:type="dxa"/>
            <w:tcBorders>
              <w:tl2br w:val="nil"/>
              <w:tr2bl w:val="nil"/>
            </w:tcBorders>
            <w:noWrap w:val="0"/>
            <w:vAlign w:val="center"/>
          </w:tcPr>
          <w:p w14:paraId="41FA3E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8.46±1.75</w:t>
            </w:r>
          </w:p>
        </w:tc>
        <w:tc>
          <w:tcPr>
            <w:tcW w:w="738" w:type="dxa"/>
            <w:tcBorders>
              <w:tl2br w:val="nil"/>
              <w:tr2bl w:val="nil"/>
            </w:tcBorders>
            <w:noWrap w:val="0"/>
            <w:vAlign w:val="center"/>
          </w:tcPr>
          <w:p w14:paraId="6DA7D1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13.26±2.18</w:t>
            </w:r>
          </w:p>
        </w:tc>
        <w:tc>
          <w:tcPr>
            <w:tcW w:w="738" w:type="dxa"/>
            <w:tcBorders>
              <w:tl2br w:val="nil"/>
              <w:tr2bl w:val="nil"/>
            </w:tcBorders>
            <w:noWrap w:val="0"/>
            <w:vAlign w:val="center"/>
          </w:tcPr>
          <w:p w14:paraId="31307A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12.33±2.29</w:t>
            </w:r>
          </w:p>
        </w:tc>
        <w:tc>
          <w:tcPr>
            <w:tcW w:w="738" w:type="dxa"/>
            <w:tcBorders>
              <w:tl2br w:val="nil"/>
              <w:tr2bl w:val="nil"/>
            </w:tcBorders>
            <w:noWrap w:val="0"/>
            <w:vAlign w:val="center"/>
          </w:tcPr>
          <w:p w14:paraId="7BDF36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13.81±2.15</w:t>
            </w:r>
          </w:p>
        </w:tc>
        <w:tc>
          <w:tcPr>
            <w:tcW w:w="738" w:type="dxa"/>
            <w:tcBorders>
              <w:tl2br w:val="nil"/>
              <w:tr2bl w:val="nil"/>
            </w:tcBorders>
            <w:noWrap w:val="0"/>
            <w:vAlign w:val="center"/>
          </w:tcPr>
          <w:p w14:paraId="2E84C7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11.75±2.12</w:t>
            </w:r>
          </w:p>
        </w:tc>
        <w:tc>
          <w:tcPr>
            <w:tcW w:w="855" w:type="dxa"/>
            <w:tcBorders>
              <w:tl2br w:val="nil"/>
              <w:tr2bl w:val="nil"/>
            </w:tcBorders>
            <w:noWrap w:val="0"/>
            <w:vAlign w:val="center"/>
          </w:tcPr>
          <w:p w14:paraId="5DBBE8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13.42±2.07</w:t>
            </w:r>
          </w:p>
        </w:tc>
        <w:tc>
          <w:tcPr>
            <w:tcW w:w="690" w:type="dxa"/>
            <w:tcBorders>
              <w:tl2br w:val="nil"/>
              <w:tr2bl w:val="nil"/>
            </w:tcBorders>
            <w:noWrap w:val="0"/>
            <w:vAlign w:val="center"/>
          </w:tcPr>
          <w:p w14:paraId="32368F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8.91±1.68</w:t>
            </w:r>
          </w:p>
        </w:tc>
        <w:tc>
          <w:tcPr>
            <w:tcW w:w="969" w:type="dxa"/>
            <w:tcBorders>
              <w:tl2br w:val="nil"/>
              <w:tr2bl w:val="nil"/>
            </w:tcBorders>
            <w:noWrap w:val="0"/>
            <w:vAlign w:val="center"/>
          </w:tcPr>
          <w:p w14:paraId="04207E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13.26±2.03</w:t>
            </w:r>
          </w:p>
        </w:tc>
        <w:tc>
          <w:tcPr>
            <w:tcW w:w="1037" w:type="dxa"/>
            <w:tcBorders>
              <w:tl2br w:val="nil"/>
              <w:tr2bl w:val="nil"/>
            </w:tcBorders>
            <w:noWrap w:val="0"/>
            <w:vAlign w:val="center"/>
          </w:tcPr>
          <w:p w14:paraId="4E53F6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120.14±20.37</w:t>
            </w:r>
          </w:p>
        </w:tc>
      </w:tr>
      <w:tr w14:paraId="6FDE04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816" w:type="dxa"/>
            <w:tcBorders>
              <w:tl2br w:val="nil"/>
              <w:tr2bl w:val="nil"/>
            </w:tcBorders>
            <w:noWrap w:val="0"/>
            <w:vAlign w:val="top"/>
          </w:tcPr>
          <w:p w14:paraId="44BA9A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i/>
                <w:iCs w:val="0"/>
                <w:color w:val="auto"/>
                <w:kern w:val="2"/>
                <w:szCs w:val="24"/>
                <w:vertAlign w:val="baseline"/>
                <w:lang w:val="en-US" w:eastAsia="zh-CN" w:bidi="ar-SA"/>
              </w:rPr>
            </w:pPr>
            <w:r>
              <w:rPr>
                <w:rFonts w:hint="default" w:ascii="Times New Roman" w:hAnsi="Times New Roman" w:eastAsia="宋体" w:cs="Times New Roman"/>
                <w:i/>
                <w:iCs w:val="0"/>
                <w:color w:val="auto"/>
                <w:kern w:val="2"/>
                <w:szCs w:val="21"/>
                <w:lang w:val="en-US" w:eastAsia="zh-CN" w:bidi="ar-SA"/>
              </w:rPr>
              <w:t>t</w:t>
            </w:r>
          </w:p>
        </w:tc>
        <w:tc>
          <w:tcPr>
            <w:tcW w:w="548" w:type="dxa"/>
            <w:tcBorders>
              <w:tl2br w:val="nil"/>
              <w:tr2bl w:val="nil"/>
            </w:tcBorders>
            <w:noWrap w:val="0"/>
            <w:vAlign w:val="top"/>
          </w:tcPr>
          <w:p w14:paraId="50B00A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w:t>
            </w:r>
          </w:p>
        </w:tc>
        <w:tc>
          <w:tcPr>
            <w:tcW w:w="723" w:type="dxa"/>
            <w:tcBorders>
              <w:tl2br w:val="nil"/>
              <w:tr2bl w:val="nil"/>
            </w:tcBorders>
            <w:noWrap w:val="0"/>
            <w:vAlign w:val="center"/>
          </w:tcPr>
          <w:p w14:paraId="660253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12.927</w:t>
            </w:r>
          </w:p>
        </w:tc>
        <w:tc>
          <w:tcPr>
            <w:tcW w:w="741" w:type="dxa"/>
            <w:tcBorders>
              <w:tl2br w:val="nil"/>
              <w:tr2bl w:val="nil"/>
            </w:tcBorders>
            <w:noWrap w:val="0"/>
            <w:vAlign w:val="center"/>
          </w:tcPr>
          <w:p w14:paraId="14B17D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11.640</w:t>
            </w:r>
          </w:p>
        </w:tc>
        <w:tc>
          <w:tcPr>
            <w:tcW w:w="738" w:type="dxa"/>
            <w:tcBorders>
              <w:tl2br w:val="nil"/>
              <w:tr2bl w:val="nil"/>
            </w:tcBorders>
            <w:noWrap w:val="0"/>
            <w:vAlign w:val="center"/>
          </w:tcPr>
          <w:p w14:paraId="0F9A86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13.668</w:t>
            </w:r>
          </w:p>
        </w:tc>
        <w:tc>
          <w:tcPr>
            <w:tcW w:w="738" w:type="dxa"/>
            <w:tcBorders>
              <w:tl2br w:val="nil"/>
              <w:tr2bl w:val="nil"/>
            </w:tcBorders>
            <w:noWrap w:val="0"/>
            <w:vAlign w:val="center"/>
          </w:tcPr>
          <w:p w14:paraId="12547C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13.810</w:t>
            </w:r>
          </w:p>
        </w:tc>
        <w:tc>
          <w:tcPr>
            <w:tcW w:w="738" w:type="dxa"/>
            <w:tcBorders>
              <w:tl2br w:val="nil"/>
              <w:tr2bl w:val="nil"/>
            </w:tcBorders>
            <w:noWrap w:val="0"/>
            <w:vAlign w:val="center"/>
          </w:tcPr>
          <w:p w14:paraId="3416D1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12.270</w:t>
            </w:r>
          </w:p>
        </w:tc>
        <w:tc>
          <w:tcPr>
            <w:tcW w:w="738" w:type="dxa"/>
            <w:tcBorders>
              <w:tl2br w:val="nil"/>
              <w:tr2bl w:val="nil"/>
            </w:tcBorders>
            <w:noWrap w:val="0"/>
            <w:vAlign w:val="center"/>
          </w:tcPr>
          <w:p w14:paraId="1F236B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13.403</w:t>
            </w:r>
          </w:p>
        </w:tc>
        <w:tc>
          <w:tcPr>
            <w:tcW w:w="738" w:type="dxa"/>
            <w:tcBorders>
              <w:tl2br w:val="nil"/>
              <w:tr2bl w:val="nil"/>
            </w:tcBorders>
            <w:noWrap w:val="0"/>
            <w:vAlign w:val="center"/>
          </w:tcPr>
          <w:p w14:paraId="2DAC11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13.307</w:t>
            </w:r>
          </w:p>
        </w:tc>
        <w:tc>
          <w:tcPr>
            <w:tcW w:w="855" w:type="dxa"/>
            <w:tcBorders>
              <w:tl2br w:val="nil"/>
              <w:tr2bl w:val="nil"/>
            </w:tcBorders>
            <w:noWrap w:val="0"/>
            <w:vAlign w:val="center"/>
          </w:tcPr>
          <w:p w14:paraId="017113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17.435</w:t>
            </w:r>
          </w:p>
        </w:tc>
        <w:tc>
          <w:tcPr>
            <w:tcW w:w="690" w:type="dxa"/>
            <w:tcBorders>
              <w:tl2br w:val="nil"/>
              <w:tr2bl w:val="nil"/>
            </w:tcBorders>
            <w:noWrap w:val="0"/>
            <w:vAlign w:val="center"/>
          </w:tcPr>
          <w:p w14:paraId="368E2C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15.428</w:t>
            </w:r>
          </w:p>
        </w:tc>
        <w:tc>
          <w:tcPr>
            <w:tcW w:w="969" w:type="dxa"/>
            <w:tcBorders>
              <w:tl2br w:val="nil"/>
              <w:tr2bl w:val="nil"/>
            </w:tcBorders>
            <w:noWrap w:val="0"/>
            <w:vAlign w:val="center"/>
          </w:tcPr>
          <w:p w14:paraId="429B82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15.196</w:t>
            </w:r>
          </w:p>
        </w:tc>
        <w:tc>
          <w:tcPr>
            <w:tcW w:w="1037" w:type="dxa"/>
            <w:tcBorders>
              <w:tl2br w:val="nil"/>
              <w:tr2bl w:val="nil"/>
            </w:tcBorders>
            <w:noWrap w:val="0"/>
            <w:vAlign w:val="center"/>
          </w:tcPr>
          <w:p w14:paraId="221DE1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13.140</w:t>
            </w:r>
          </w:p>
        </w:tc>
      </w:tr>
      <w:tr w14:paraId="51B529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6" w:type="dxa"/>
            <w:tcBorders>
              <w:tl2br w:val="nil"/>
              <w:tr2bl w:val="nil"/>
            </w:tcBorders>
            <w:noWrap w:val="0"/>
            <w:vAlign w:val="top"/>
          </w:tcPr>
          <w:p w14:paraId="6409BA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i/>
                <w:iCs w:val="0"/>
                <w:color w:val="auto"/>
                <w:kern w:val="2"/>
                <w:szCs w:val="24"/>
                <w:vertAlign w:val="baseline"/>
                <w:lang w:val="en-US" w:eastAsia="zh-CN" w:bidi="ar-SA"/>
              </w:rPr>
            </w:pPr>
            <w:r>
              <w:rPr>
                <w:rFonts w:hint="default" w:ascii="Times New Roman" w:hAnsi="Times New Roman" w:eastAsia="宋体" w:cs="Times New Roman"/>
                <w:i/>
                <w:iCs w:val="0"/>
                <w:color w:val="auto"/>
                <w:kern w:val="2"/>
                <w:szCs w:val="24"/>
                <w:vertAlign w:val="baseline"/>
                <w:lang w:val="en-US" w:eastAsia="zh-CN" w:bidi="ar-SA"/>
              </w:rPr>
              <w:t>P</w:t>
            </w:r>
          </w:p>
        </w:tc>
        <w:tc>
          <w:tcPr>
            <w:tcW w:w="548" w:type="dxa"/>
            <w:tcBorders>
              <w:tl2br w:val="nil"/>
              <w:tr2bl w:val="nil"/>
            </w:tcBorders>
            <w:noWrap w:val="0"/>
            <w:vAlign w:val="top"/>
          </w:tcPr>
          <w:p w14:paraId="7BE61A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w:t>
            </w:r>
          </w:p>
        </w:tc>
        <w:tc>
          <w:tcPr>
            <w:tcW w:w="723" w:type="dxa"/>
            <w:tcBorders>
              <w:tl2br w:val="nil"/>
              <w:tr2bl w:val="nil"/>
            </w:tcBorders>
            <w:noWrap w:val="0"/>
            <w:vAlign w:val="center"/>
          </w:tcPr>
          <w:p w14:paraId="795DF1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741" w:type="dxa"/>
            <w:tcBorders>
              <w:tl2br w:val="nil"/>
              <w:tr2bl w:val="nil"/>
            </w:tcBorders>
            <w:noWrap w:val="0"/>
            <w:vAlign w:val="center"/>
          </w:tcPr>
          <w:p w14:paraId="2F1CE5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738" w:type="dxa"/>
            <w:tcBorders>
              <w:tl2br w:val="nil"/>
              <w:tr2bl w:val="nil"/>
            </w:tcBorders>
            <w:noWrap w:val="0"/>
            <w:vAlign w:val="center"/>
          </w:tcPr>
          <w:p w14:paraId="50CF47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738" w:type="dxa"/>
            <w:tcBorders>
              <w:tl2br w:val="nil"/>
              <w:tr2bl w:val="nil"/>
            </w:tcBorders>
            <w:noWrap w:val="0"/>
            <w:vAlign w:val="center"/>
          </w:tcPr>
          <w:p w14:paraId="097086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738" w:type="dxa"/>
            <w:tcBorders>
              <w:tl2br w:val="nil"/>
              <w:tr2bl w:val="nil"/>
            </w:tcBorders>
            <w:noWrap w:val="0"/>
            <w:vAlign w:val="center"/>
          </w:tcPr>
          <w:p w14:paraId="66CF26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738" w:type="dxa"/>
            <w:tcBorders>
              <w:tl2br w:val="nil"/>
              <w:tr2bl w:val="nil"/>
            </w:tcBorders>
            <w:noWrap w:val="0"/>
            <w:vAlign w:val="center"/>
          </w:tcPr>
          <w:p w14:paraId="3FE483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738" w:type="dxa"/>
            <w:tcBorders>
              <w:tl2br w:val="nil"/>
              <w:tr2bl w:val="nil"/>
            </w:tcBorders>
            <w:noWrap w:val="0"/>
            <w:vAlign w:val="center"/>
          </w:tcPr>
          <w:p w14:paraId="10D008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855" w:type="dxa"/>
            <w:tcBorders>
              <w:tl2br w:val="nil"/>
              <w:tr2bl w:val="nil"/>
            </w:tcBorders>
            <w:noWrap w:val="0"/>
            <w:vAlign w:val="center"/>
          </w:tcPr>
          <w:p w14:paraId="692175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690" w:type="dxa"/>
            <w:tcBorders>
              <w:tl2br w:val="nil"/>
              <w:tr2bl w:val="nil"/>
            </w:tcBorders>
            <w:noWrap w:val="0"/>
            <w:vAlign w:val="center"/>
          </w:tcPr>
          <w:p w14:paraId="566B0E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969" w:type="dxa"/>
            <w:tcBorders>
              <w:tl2br w:val="nil"/>
              <w:tr2bl w:val="nil"/>
            </w:tcBorders>
            <w:noWrap w:val="0"/>
            <w:vAlign w:val="center"/>
          </w:tcPr>
          <w:p w14:paraId="1D0673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037" w:type="dxa"/>
            <w:tcBorders>
              <w:tl2br w:val="nil"/>
              <w:tr2bl w:val="nil"/>
            </w:tcBorders>
            <w:noWrap w:val="0"/>
            <w:vAlign w:val="center"/>
          </w:tcPr>
          <w:p w14:paraId="2855ED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r>
    </w:tbl>
    <w:p w14:paraId="34B668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2.3</w:t>
      </w:r>
      <w:r>
        <w:rPr>
          <w:rFonts w:hint="default" w:ascii="Times New Roman" w:hAnsi="Times New Roman" w:cs="Times New Roman"/>
          <w:b/>
          <w:color w:val="auto"/>
          <w:kern w:val="2"/>
          <w:szCs w:val="21"/>
          <w:lang w:val="en-US" w:eastAsia="zh-CN" w:bidi="ar-SA"/>
        </w:rPr>
        <w:t>实施前后患者满意度比较</w:t>
      </w:r>
    </w:p>
    <w:p w14:paraId="72AFB2B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b/>
          <w:color w:val="auto"/>
          <w:kern w:val="2"/>
          <w:szCs w:val="21"/>
          <w:lang w:val="en-US" w:eastAsia="zh-CN" w:bidi="ar-SA"/>
        </w:rPr>
      </w:pPr>
      <w:r>
        <w:rPr>
          <w:rFonts w:hint="eastAsia" w:cs="Times New Roman"/>
          <w:b w:val="0"/>
          <w:bCs/>
          <w:color w:val="auto"/>
          <w:kern w:val="2"/>
          <w:szCs w:val="21"/>
          <w:lang w:val="en-US" w:eastAsia="zh-CN" w:bidi="ar-SA"/>
        </w:rPr>
        <w:t>观察组门诊患者各项满意度评分均高于对照组</w:t>
      </w:r>
      <w:r>
        <w:rPr>
          <w:rFonts w:hint="default"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i/>
          <w:color w:val="auto"/>
          <w:kern w:val="2"/>
          <w:sz w:val="21"/>
          <w:szCs w:val="21"/>
          <w:lang w:val="en-US" w:eastAsia="zh-CN" w:bidi="ar-SA"/>
        </w:rPr>
        <w:t>P</w:t>
      </w:r>
      <w:r>
        <w:rPr>
          <w:rFonts w:hint="default" w:ascii="Times New Roman" w:hAnsi="Times New Roman" w:eastAsia="宋体" w:cs="Times New Roman"/>
          <w:color w:val="auto"/>
          <w:kern w:val="2"/>
          <w:sz w:val="21"/>
          <w:szCs w:val="21"/>
          <w:lang w:val="en-US" w:eastAsia="zh-CN" w:bidi="ar-SA"/>
        </w:rPr>
        <w:t>&lt;0.05）</w:t>
      </w:r>
      <w:r>
        <w:rPr>
          <w:rFonts w:hint="eastAsia" w:cs="Times New Roman"/>
          <w:color w:val="auto"/>
          <w:kern w:val="2"/>
          <w:sz w:val="21"/>
          <w:szCs w:val="21"/>
          <w:lang w:val="en-US" w:eastAsia="zh-CN" w:bidi="ar-SA"/>
        </w:rPr>
        <w:t>，见表2。</w:t>
      </w:r>
    </w:p>
    <w:p w14:paraId="20162F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kern w:val="2"/>
          <w:szCs w:val="21"/>
          <w:lang w:val="en-US" w:eastAsia="zh-CN" w:bidi="ar-SA"/>
        </w:rPr>
      </w:pPr>
      <w:r>
        <w:rPr>
          <w:rFonts w:hint="default" w:ascii="Times New Roman" w:hAnsi="Times New Roman" w:eastAsia="宋体" w:cs="Times New Roman"/>
          <w:b/>
          <w:color w:val="auto"/>
          <w:kern w:val="2"/>
          <w:szCs w:val="21"/>
          <w:lang w:val="en-US" w:eastAsia="zh-CN" w:bidi="ar-SA"/>
        </w:rPr>
        <w:t xml:space="preserve">表2 </w:t>
      </w:r>
      <w:r>
        <w:rPr>
          <w:rFonts w:hint="default" w:ascii="Times New Roman" w:hAnsi="Times New Roman" w:cs="Times New Roman"/>
          <w:b/>
          <w:color w:val="auto"/>
          <w:kern w:val="2"/>
          <w:szCs w:val="21"/>
          <w:lang w:val="en-US" w:eastAsia="zh-CN" w:bidi="ar-SA"/>
        </w:rPr>
        <w:t>实施前后患者满意度比较</w:t>
      </w:r>
      <w:r>
        <w:rPr>
          <w:rFonts w:hint="default" w:ascii="Times New Roman" w:hAnsi="Times New Roman" w:eastAsia="宋体" w:cs="Times New Roman"/>
          <w:b/>
          <w:color w:val="auto"/>
          <w:kern w:val="2"/>
          <w:szCs w:val="21"/>
          <w:lang w:val="en-US" w:eastAsia="zh-CN" w:bidi="ar-SA"/>
        </w:rPr>
        <w:t>（</w:t>
      </w:r>
      <w:r>
        <w:rPr>
          <w:rFonts w:hint="default" w:ascii="Times New Roman" w:hAnsi="Times New Roman" w:eastAsia="宋体" w:cs="Times New Roman"/>
          <w:b/>
          <w:color w:val="auto"/>
          <w:kern w:val="2"/>
          <w:position w:val="-6"/>
          <w:szCs w:val="21"/>
          <w:lang w:val="en-US" w:eastAsia="zh-CN" w:bidi="ar-SA"/>
        </w:rPr>
        <w:object>
          <v:shape id="_x0000_i1027" o:spt="75" type="#_x0000_t75" style="height:14.4pt;width:27pt;" o:ole="t" filled="f" o:preferrelative="t" stroked="f" coordsize="21600,21600">
            <v:path/>
            <v:fill on="f" focussize="0,0"/>
            <v:stroke on="f"/>
            <v:imagedata r:id="rId10" o:title=""/>
            <o:lock v:ext="edit" grouping="f" rotation="f" text="f" aspectratio="t"/>
            <w10:wrap type="none"/>
            <w10:anchorlock/>
          </v:shape>
          <o:OLEObject Type="Embed" ProgID="Equation.3" ShapeID="_x0000_i1027" DrawAspect="Content" ObjectID="_1468075727" r:id="rId11">
            <o:LockedField>false</o:LockedField>
          </o:OLEObject>
        </w:object>
      </w:r>
      <w:r>
        <w:rPr>
          <w:rFonts w:hint="eastAsia" w:ascii="Times New Roman" w:hAnsi="Times New Roman" w:cs="Times New Roman"/>
          <w:b/>
          <w:color w:val="auto"/>
          <w:kern w:val="2"/>
          <w:position w:val="-6"/>
          <w:szCs w:val="21"/>
          <w:lang w:val="en-US" w:eastAsia="zh-CN" w:bidi="ar-SA"/>
        </w:rPr>
        <w:t>，分</w:t>
      </w:r>
      <w:r>
        <w:rPr>
          <w:rFonts w:hint="default" w:ascii="Times New Roman" w:hAnsi="Times New Roman" w:eastAsia="宋体" w:cs="Times New Roman"/>
          <w:b/>
          <w:color w:val="auto"/>
          <w:kern w:val="2"/>
          <w:szCs w:val="21"/>
          <w:lang w:val="en-US" w:eastAsia="zh-CN" w:bidi="ar-SA"/>
        </w:rPr>
        <w:t>）</w:t>
      </w:r>
    </w:p>
    <w:tbl>
      <w:tblPr>
        <w:tblStyle w:val="4"/>
        <w:tblW w:w="9476"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4"/>
        <w:gridCol w:w="804"/>
        <w:gridCol w:w="1128"/>
        <w:gridCol w:w="1125"/>
        <w:gridCol w:w="1123"/>
        <w:gridCol w:w="1123"/>
        <w:gridCol w:w="1123"/>
        <w:gridCol w:w="1123"/>
        <w:gridCol w:w="1123"/>
      </w:tblGrid>
      <w:tr w14:paraId="6B28C7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804" w:type="dxa"/>
            <w:tcBorders>
              <w:bottom w:val="single" w:color="auto" w:sz="4" w:space="0"/>
              <w:tl2br w:val="nil"/>
              <w:tr2bl w:val="nil"/>
            </w:tcBorders>
            <w:noWrap w:val="0"/>
            <w:vAlign w:val="top"/>
          </w:tcPr>
          <w:p w14:paraId="7D3C19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组别</w:t>
            </w:r>
          </w:p>
        </w:tc>
        <w:tc>
          <w:tcPr>
            <w:tcW w:w="804" w:type="dxa"/>
            <w:tcBorders>
              <w:bottom w:val="single" w:color="auto" w:sz="4" w:space="0"/>
              <w:tl2br w:val="nil"/>
              <w:tr2bl w:val="nil"/>
            </w:tcBorders>
            <w:noWrap w:val="0"/>
            <w:vAlign w:val="top"/>
          </w:tcPr>
          <w:p w14:paraId="6B6501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例数</w:t>
            </w:r>
          </w:p>
        </w:tc>
        <w:tc>
          <w:tcPr>
            <w:tcW w:w="1128" w:type="dxa"/>
            <w:tcBorders>
              <w:bottom w:val="single" w:color="auto" w:sz="4" w:space="0"/>
              <w:tl2br w:val="nil"/>
              <w:tr2bl w:val="nil"/>
            </w:tcBorders>
            <w:noWrap w:val="0"/>
            <w:vAlign w:val="top"/>
          </w:tcPr>
          <w:p w14:paraId="3D173D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诊疗</w:t>
            </w:r>
          </w:p>
        </w:tc>
        <w:tc>
          <w:tcPr>
            <w:tcW w:w="1125" w:type="dxa"/>
            <w:tcBorders>
              <w:bottom w:val="single" w:color="auto" w:sz="4" w:space="0"/>
              <w:tl2br w:val="nil"/>
              <w:tr2bl w:val="nil"/>
            </w:tcBorders>
            <w:noWrap w:val="0"/>
            <w:vAlign w:val="top"/>
          </w:tcPr>
          <w:p w14:paraId="5FCD0A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医院环境</w:t>
            </w:r>
          </w:p>
        </w:tc>
        <w:tc>
          <w:tcPr>
            <w:tcW w:w="1123" w:type="dxa"/>
            <w:tcBorders>
              <w:bottom w:val="single" w:color="auto" w:sz="4" w:space="0"/>
              <w:tl2br w:val="nil"/>
              <w:tr2bl w:val="nil"/>
            </w:tcBorders>
            <w:noWrap w:val="0"/>
            <w:vAlign w:val="top"/>
          </w:tcPr>
          <w:p w14:paraId="2D166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辅助检查</w:t>
            </w:r>
          </w:p>
        </w:tc>
        <w:tc>
          <w:tcPr>
            <w:tcW w:w="1123" w:type="dxa"/>
            <w:tcBorders>
              <w:bottom w:val="single" w:color="auto" w:sz="4" w:space="0"/>
              <w:tl2br w:val="nil"/>
              <w:tr2bl w:val="nil"/>
            </w:tcBorders>
            <w:noWrap w:val="0"/>
            <w:vAlign w:val="top"/>
          </w:tcPr>
          <w:p w14:paraId="172093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挂号/候诊</w:t>
            </w:r>
          </w:p>
        </w:tc>
        <w:tc>
          <w:tcPr>
            <w:tcW w:w="1123" w:type="dxa"/>
            <w:tcBorders>
              <w:bottom w:val="single" w:color="auto" w:sz="4" w:space="0"/>
              <w:tl2br w:val="nil"/>
              <w:tr2bl w:val="nil"/>
            </w:tcBorders>
            <w:noWrap w:val="0"/>
            <w:vAlign w:val="top"/>
          </w:tcPr>
          <w:p w14:paraId="6E2989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cs="Times New Roman"/>
                <w:b w:val="0"/>
                <w:bCs/>
                <w:color w:val="auto"/>
                <w:kern w:val="2"/>
                <w:szCs w:val="21"/>
                <w:lang w:val="en-US" w:eastAsia="zh-CN" w:bidi="ar-SA"/>
              </w:rPr>
              <w:t>取药及缴费</w:t>
            </w:r>
          </w:p>
        </w:tc>
        <w:tc>
          <w:tcPr>
            <w:tcW w:w="1123" w:type="dxa"/>
            <w:tcBorders>
              <w:bottom w:val="single" w:color="auto" w:sz="4" w:space="0"/>
              <w:tl2br w:val="nil"/>
              <w:tr2bl w:val="nil"/>
            </w:tcBorders>
            <w:noWrap w:val="0"/>
            <w:vAlign w:val="top"/>
          </w:tcPr>
          <w:p w14:paraId="074466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投诉</w:t>
            </w:r>
          </w:p>
        </w:tc>
        <w:tc>
          <w:tcPr>
            <w:tcW w:w="1123" w:type="dxa"/>
            <w:tcBorders>
              <w:bottom w:val="single" w:color="auto" w:sz="4" w:space="0"/>
              <w:tl2br w:val="nil"/>
              <w:tr2bl w:val="nil"/>
            </w:tcBorders>
            <w:noWrap w:val="0"/>
            <w:vAlign w:val="top"/>
          </w:tcPr>
          <w:p w14:paraId="03A014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eastAsia" w:ascii="Times New Roman" w:hAnsi="Times New Roman" w:cs="Times New Roman"/>
                <w:color w:val="auto"/>
                <w:kern w:val="2"/>
                <w:szCs w:val="24"/>
                <w:vertAlign w:val="baseline"/>
                <w:lang w:val="en-US" w:eastAsia="zh-CN" w:bidi="ar-SA"/>
              </w:rPr>
              <w:t>总分</w:t>
            </w:r>
          </w:p>
        </w:tc>
      </w:tr>
      <w:tr w14:paraId="5DC27F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04" w:type="dxa"/>
            <w:tcBorders>
              <w:top w:val="single" w:color="auto" w:sz="4" w:space="0"/>
              <w:tl2br w:val="nil"/>
              <w:tr2bl w:val="nil"/>
            </w:tcBorders>
            <w:noWrap w:val="0"/>
            <w:vAlign w:val="center"/>
          </w:tcPr>
          <w:p w14:paraId="0364C0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观察组</w:t>
            </w:r>
          </w:p>
        </w:tc>
        <w:tc>
          <w:tcPr>
            <w:tcW w:w="804" w:type="dxa"/>
            <w:tcBorders>
              <w:top w:val="single" w:color="auto" w:sz="4" w:space="0"/>
              <w:tl2br w:val="nil"/>
              <w:tr2bl w:val="nil"/>
            </w:tcBorders>
            <w:noWrap w:val="0"/>
            <w:vAlign w:val="center"/>
          </w:tcPr>
          <w:p w14:paraId="5C7828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125</w:t>
            </w:r>
          </w:p>
        </w:tc>
        <w:tc>
          <w:tcPr>
            <w:tcW w:w="1128" w:type="dxa"/>
            <w:tcBorders>
              <w:top w:val="single" w:color="auto" w:sz="4" w:space="0"/>
              <w:tl2br w:val="nil"/>
              <w:tr2bl w:val="nil"/>
            </w:tcBorders>
            <w:noWrap w:val="0"/>
            <w:vAlign w:val="center"/>
          </w:tcPr>
          <w:p w14:paraId="7D294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w:t>
            </w:r>
            <w:r>
              <w:rPr>
                <w:rFonts w:hint="eastAsia" w:cs="Times New Roman"/>
                <w:b w:val="0"/>
                <w:bCs/>
                <w:color w:val="auto"/>
                <w:kern w:val="2"/>
                <w:szCs w:val="21"/>
                <w:lang w:val="en-US" w:eastAsia="zh-CN" w:bidi="ar-SA"/>
              </w:rPr>
              <w:t>7</w:t>
            </w:r>
            <w:r>
              <w:rPr>
                <w:rFonts w:hint="default" w:ascii="Times New Roman" w:hAnsi="Times New Roman" w:cs="Times New Roman"/>
                <w:b w:val="0"/>
                <w:bCs/>
                <w:color w:val="auto"/>
                <w:kern w:val="2"/>
                <w:szCs w:val="21"/>
                <w:lang w:val="en-US" w:eastAsia="zh-CN" w:bidi="ar-SA"/>
              </w:rPr>
              <w:t>.36±1.72</w:t>
            </w:r>
          </w:p>
        </w:tc>
        <w:tc>
          <w:tcPr>
            <w:tcW w:w="1125" w:type="dxa"/>
            <w:tcBorders>
              <w:top w:val="single" w:color="auto" w:sz="4" w:space="0"/>
              <w:tl2br w:val="nil"/>
              <w:tr2bl w:val="nil"/>
            </w:tcBorders>
            <w:noWrap w:val="0"/>
            <w:vAlign w:val="center"/>
          </w:tcPr>
          <w:p w14:paraId="2D84DA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w:t>
            </w:r>
            <w:r>
              <w:rPr>
                <w:rFonts w:hint="eastAsia" w:cs="Times New Roman"/>
                <w:b w:val="0"/>
                <w:bCs/>
                <w:color w:val="auto"/>
                <w:kern w:val="2"/>
                <w:szCs w:val="21"/>
                <w:lang w:val="en-US" w:eastAsia="zh-CN" w:bidi="ar-SA"/>
              </w:rPr>
              <w:t>2</w:t>
            </w:r>
            <w:r>
              <w:rPr>
                <w:rFonts w:hint="default" w:ascii="Times New Roman" w:hAnsi="Times New Roman" w:cs="Times New Roman"/>
                <w:b w:val="0"/>
                <w:bCs/>
                <w:color w:val="auto"/>
                <w:kern w:val="2"/>
                <w:szCs w:val="21"/>
                <w:lang w:val="en-US" w:eastAsia="zh-CN" w:bidi="ar-SA"/>
              </w:rPr>
              <w:t>.25±1.41</w:t>
            </w:r>
          </w:p>
        </w:tc>
        <w:tc>
          <w:tcPr>
            <w:tcW w:w="1123" w:type="dxa"/>
            <w:tcBorders>
              <w:top w:val="single" w:color="auto" w:sz="4" w:space="0"/>
              <w:tl2br w:val="nil"/>
              <w:tr2bl w:val="nil"/>
            </w:tcBorders>
            <w:noWrap w:val="0"/>
            <w:vAlign w:val="center"/>
          </w:tcPr>
          <w:p w14:paraId="0DFFA8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8</w:t>
            </w:r>
            <w:r>
              <w:rPr>
                <w:rFonts w:hint="default" w:ascii="Times New Roman" w:hAnsi="Times New Roman" w:cs="Times New Roman"/>
                <w:b w:val="0"/>
                <w:bCs/>
                <w:color w:val="auto"/>
                <w:kern w:val="2"/>
                <w:szCs w:val="21"/>
                <w:lang w:val="en-US" w:eastAsia="zh-CN" w:bidi="ar-SA"/>
              </w:rPr>
              <w:t>.18±1.03</w:t>
            </w:r>
          </w:p>
        </w:tc>
        <w:tc>
          <w:tcPr>
            <w:tcW w:w="1123" w:type="dxa"/>
            <w:tcBorders>
              <w:top w:val="single" w:color="auto" w:sz="4" w:space="0"/>
              <w:tl2br w:val="nil"/>
              <w:tr2bl w:val="nil"/>
            </w:tcBorders>
            <w:noWrap w:val="0"/>
            <w:vAlign w:val="center"/>
          </w:tcPr>
          <w:p w14:paraId="2B30FD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w:t>
            </w:r>
            <w:r>
              <w:rPr>
                <w:rFonts w:hint="eastAsia" w:cs="Times New Roman"/>
                <w:b w:val="0"/>
                <w:bCs/>
                <w:color w:val="auto"/>
                <w:kern w:val="2"/>
                <w:szCs w:val="21"/>
                <w:lang w:val="en-US" w:eastAsia="zh-CN" w:bidi="ar-SA"/>
              </w:rPr>
              <w:t>2</w:t>
            </w:r>
            <w:r>
              <w:rPr>
                <w:rFonts w:hint="default" w:ascii="Times New Roman" w:hAnsi="Times New Roman" w:cs="Times New Roman"/>
                <w:b w:val="0"/>
                <w:bCs/>
                <w:color w:val="auto"/>
                <w:kern w:val="2"/>
                <w:szCs w:val="21"/>
                <w:lang w:val="en-US" w:eastAsia="zh-CN" w:bidi="ar-SA"/>
              </w:rPr>
              <w:t>.69±1.57</w:t>
            </w:r>
          </w:p>
        </w:tc>
        <w:tc>
          <w:tcPr>
            <w:tcW w:w="1123" w:type="dxa"/>
            <w:tcBorders>
              <w:top w:val="single" w:color="auto" w:sz="4" w:space="0"/>
              <w:tl2br w:val="nil"/>
              <w:tr2bl w:val="nil"/>
            </w:tcBorders>
            <w:noWrap w:val="0"/>
            <w:vAlign w:val="center"/>
          </w:tcPr>
          <w:p w14:paraId="203109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8</w:t>
            </w:r>
            <w:r>
              <w:rPr>
                <w:rFonts w:hint="default" w:ascii="Times New Roman" w:hAnsi="Times New Roman" w:cs="Times New Roman"/>
                <w:b w:val="0"/>
                <w:bCs/>
                <w:color w:val="auto"/>
                <w:kern w:val="2"/>
                <w:szCs w:val="21"/>
                <w:lang w:val="en-US" w:eastAsia="zh-CN" w:bidi="ar-SA"/>
              </w:rPr>
              <w:t>.27±1.12</w:t>
            </w:r>
          </w:p>
        </w:tc>
        <w:tc>
          <w:tcPr>
            <w:tcW w:w="1123" w:type="dxa"/>
            <w:tcBorders>
              <w:top w:val="single" w:color="auto" w:sz="4" w:space="0"/>
              <w:tl2br w:val="nil"/>
              <w:tr2bl w:val="nil"/>
            </w:tcBorders>
            <w:noWrap w:val="0"/>
            <w:vAlign w:val="center"/>
          </w:tcPr>
          <w:p w14:paraId="3CB7F1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4.</w:t>
            </w:r>
            <w:r>
              <w:rPr>
                <w:rFonts w:hint="eastAsia" w:cs="Times New Roman"/>
                <w:b w:val="0"/>
                <w:bCs/>
                <w:color w:val="auto"/>
                <w:kern w:val="2"/>
                <w:szCs w:val="21"/>
                <w:lang w:val="en-US" w:eastAsia="zh-CN" w:bidi="ar-SA"/>
              </w:rPr>
              <w:t>0</w:t>
            </w:r>
            <w:r>
              <w:rPr>
                <w:rFonts w:hint="default" w:ascii="Times New Roman" w:hAnsi="Times New Roman" w:cs="Times New Roman"/>
                <w:b w:val="0"/>
                <w:bCs/>
                <w:color w:val="auto"/>
                <w:kern w:val="2"/>
                <w:szCs w:val="21"/>
                <w:lang w:val="en-US" w:eastAsia="zh-CN" w:bidi="ar-SA"/>
              </w:rPr>
              <w:t>6±0.58</w:t>
            </w:r>
          </w:p>
        </w:tc>
        <w:tc>
          <w:tcPr>
            <w:tcW w:w="1123" w:type="dxa"/>
            <w:tcBorders>
              <w:top w:val="single" w:color="auto" w:sz="4" w:space="0"/>
              <w:tl2br w:val="nil"/>
              <w:tr2bl w:val="nil"/>
            </w:tcBorders>
            <w:noWrap w:val="0"/>
            <w:vAlign w:val="center"/>
          </w:tcPr>
          <w:p w14:paraId="0B5157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65</w:t>
            </w:r>
            <w:r>
              <w:rPr>
                <w:rFonts w:hint="default" w:ascii="Times New Roman" w:hAnsi="Times New Roman" w:cs="Times New Roman"/>
                <w:b w:val="0"/>
                <w:bCs/>
                <w:color w:val="auto"/>
                <w:kern w:val="2"/>
                <w:szCs w:val="21"/>
                <w:lang w:val="en-US" w:eastAsia="zh-CN" w:bidi="ar-SA"/>
              </w:rPr>
              <w:t>.</w:t>
            </w:r>
            <w:r>
              <w:rPr>
                <w:rFonts w:hint="eastAsia" w:cs="Times New Roman"/>
                <w:b w:val="0"/>
                <w:bCs/>
                <w:color w:val="auto"/>
                <w:kern w:val="2"/>
                <w:szCs w:val="21"/>
                <w:lang w:val="en-US" w:eastAsia="zh-CN" w:bidi="ar-SA"/>
              </w:rPr>
              <w:t>1</w:t>
            </w:r>
            <w:r>
              <w:rPr>
                <w:rFonts w:hint="default" w:ascii="Times New Roman" w:hAnsi="Times New Roman" w:cs="Times New Roman"/>
                <w:b w:val="0"/>
                <w:bCs/>
                <w:color w:val="auto"/>
                <w:kern w:val="2"/>
                <w:szCs w:val="21"/>
                <w:lang w:val="en-US" w:eastAsia="zh-CN" w:bidi="ar-SA"/>
              </w:rPr>
              <w:t>8±5.63</w:t>
            </w:r>
          </w:p>
        </w:tc>
      </w:tr>
      <w:tr w14:paraId="3BA05B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04" w:type="dxa"/>
            <w:tcBorders>
              <w:tl2br w:val="nil"/>
              <w:tr2bl w:val="nil"/>
            </w:tcBorders>
            <w:noWrap w:val="0"/>
            <w:vAlign w:val="center"/>
          </w:tcPr>
          <w:p w14:paraId="7A6655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对照组</w:t>
            </w:r>
          </w:p>
        </w:tc>
        <w:tc>
          <w:tcPr>
            <w:tcW w:w="804" w:type="dxa"/>
            <w:tcBorders>
              <w:tl2br w:val="nil"/>
              <w:tr2bl w:val="nil"/>
            </w:tcBorders>
            <w:noWrap w:val="0"/>
            <w:vAlign w:val="center"/>
          </w:tcPr>
          <w:p w14:paraId="5FA284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126</w:t>
            </w:r>
          </w:p>
        </w:tc>
        <w:tc>
          <w:tcPr>
            <w:tcW w:w="1128" w:type="dxa"/>
            <w:tcBorders>
              <w:tl2br w:val="nil"/>
              <w:tr2bl w:val="nil"/>
            </w:tcBorders>
            <w:noWrap w:val="0"/>
            <w:vAlign w:val="center"/>
          </w:tcPr>
          <w:p w14:paraId="200346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15.17±1.94</w:t>
            </w:r>
          </w:p>
        </w:tc>
        <w:tc>
          <w:tcPr>
            <w:tcW w:w="1125" w:type="dxa"/>
            <w:tcBorders>
              <w:tl2br w:val="nil"/>
              <w:tr2bl w:val="nil"/>
            </w:tcBorders>
            <w:noWrap w:val="0"/>
            <w:vAlign w:val="center"/>
          </w:tcPr>
          <w:p w14:paraId="65CB1D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10.36±1.53</w:t>
            </w:r>
          </w:p>
        </w:tc>
        <w:tc>
          <w:tcPr>
            <w:tcW w:w="1123" w:type="dxa"/>
            <w:tcBorders>
              <w:tl2br w:val="nil"/>
              <w:tr2bl w:val="nil"/>
            </w:tcBorders>
            <w:noWrap w:val="0"/>
            <w:vAlign w:val="center"/>
          </w:tcPr>
          <w:p w14:paraId="313786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7.25±1.16</w:t>
            </w:r>
          </w:p>
        </w:tc>
        <w:tc>
          <w:tcPr>
            <w:tcW w:w="1123" w:type="dxa"/>
            <w:tcBorders>
              <w:tl2br w:val="nil"/>
              <w:tr2bl w:val="nil"/>
            </w:tcBorders>
            <w:noWrap w:val="0"/>
            <w:vAlign w:val="center"/>
          </w:tcPr>
          <w:p w14:paraId="6936F0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10.52±1.68</w:t>
            </w:r>
          </w:p>
        </w:tc>
        <w:tc>
          <w:tcPr>
            <w:tcW w:w="1123" w:type="dxa"/>
            <w:tcBorders>
              <w:tl2br w:val="nil"/>
              <w:tr2bl w:val="nil"/>
            </w:tcBorders>
            <w:noWrap w:val="0"/>
            <w:vAlign w:val="center"/>
          </w:tcPr>
          <w:p w14:paraId="152781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7.13±1.24</w:t>
            </w:r>
          </w:p>
        </w:tc>
        <w:tc>
          <w:tcPr>
            <w:tcW w:w="1123" w:type="dxa"/>
            <w:tcBorders>
              <w:tl2br w:val="nil"/>
              <w:tr2bl w:val="nil"/>
            </w:tcBorders>
            <w:noWrap w:val="0"/>
            <w:vAlign w:val="center"/>
          </w:tcPr>
          <w:p w14:paraId="2B17C8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3.17±0.69</w:t>
            </w:r>
          </w:p>
        </w:tc>
        <w:tc>
          <w:tcPr>
            <w:tcW w:w="1123" w:type="dxa"/>
            <w:tcBorders>
              <w:tl2br w:val="nil"/>
              <w:tr2bl w:val="nil"/>
            </w:tcBorders>
            <w:noWrap w:val="0"/>
            <w:vAlign w:val="center"/>
          </w:tcPr>
          <w:p w14:paraId="198BBE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58.12±6.27</w:t>
            </w:r>
          </w:p>
        </w:tc>
      </w:tr>
      <w:tr w14:paraId="0FCB26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804" w:type="dxa"/>
            <w:tcBorders>
              <w:tl2br w:val="nil"/>
              <w:tr2bl w:val="nil"/>
            </w:tcBorders>
            <w:noWrap w:val="0"/>
            <w:vAlign w:val="top"/>
          </w:tcPr>
          <w:p w14:paraId="3579F2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i/>
                <w:iCs w:val="0"/>
                <w:color w:val="auto"/>
                <w:kern w:val="2"/>
                <w:szCs w:val="24"/>
                <w:vertAlign w:val="baseline"/>
                <w:lang w:val="en-US" w:eastAsia="zh-CN" w:bidi="ar-SA"/>
              </w:rPr>
            </w:pPr>
            <w:r>
              <w:rPr>
                <w:rFonts w:hint="default" w:ascii="Times New Roman" w:hAnsi="Times New Roman" w:eastAsia="宋体" w:cs="Times New Roman"/>
                <w:i/>
                <w:iCs w:val="0"/>
                <w:color w:val="auto"/>
                <w:kern w:val="2"/>
                <w:szCs w:val="21"/>
                <w:lang w:val="en-US" w:eastAsia="zh-CN" w:bidi="ar-SA"/>
              </w:rPr>
              <w:t>t</w:t>
            </w:r>
          </w:p>
        </w:tc>
        <w:tc>
          <w:tcPr>
            <w:tcW w:w="804" w:type="dxa"/>
            <w:tcBorders>
              <w:tl2br w:val="nil"/>
              <w:tr2bl w:val="nil"/>
            </w:tcBorders>
            <w:noWrap w:val="0"/>
            <w:vAlign w:val="top"/>
          </w:tcPr>
          <w:p w14:paraId="2B50AC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w:t>
            </w:r>
          </w:p>
        </w:tc>
        <w:tc>
          <w:tcPr>
            <w:tcW w:w="1128" w:type="dxa"/>
            <w:tcBorders>
              <w:tl2br w:val="nil"/>
              <w:tr2bl w:val="nil"/>
            </w:tcBorders>
            <w:noWrap w:val="0"/>
            <w:vAlign w:val="center"/>
          </w:tcPr>
          <w:p w14:paraId="43A37D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9.460</w:t>
            </w:r>
          </w:p>
        </w:tc>
        <w:tc>
          <w:tcPr>
            <w:tcW w:w="1125" w:type="dxa"/>
            <w:tcBorders>
              <w:tl2br w:val="nil"/>
              <w:tr2bl w:val="nil"/>
            </w:tcBorders>
            <w:noWrap w:val="0"/>
            <w:vAlign w:val="center"/>
          </w:tcPr>
          <w:p w14:paraId="151CD3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10.175</w:t>
            </w:r>
          </w:p>
        </w:tc>
        <w:tc>
          <w:tcPr>
            <w:tcW w:w="1123" w:type="dxa"/>
            <w:tcBorders>
              <w:tl2br w:val="nil"/>
              <w:tr2bl w:val="nil"/>
            </w:tcBorders>
            <w:noWrap w:val="0"/>
            <w:vAlign w:val="center"/>
          </w:tcPr>
          <w:p w14:paraId="145347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6.714</w:t>
            </w:r>
          </w:p>
        </w:tc>
        <w:tc>
          <w:tcPr>
            <w:tcW w:w="1123" w:type="dxa"/>
            <w:tcBorders>
              <w:tl2br w:val="nil"/>
              <w:tr2bl w:val="nil"/>
            </w:tcBorders>
            <w:noWrap w:val="0"/>
            <w:vAlign w:val="center"/>
          </w:tcPr>
          <w:p w14:paraId="0384BA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10.571</w:t>
            </w:r>
          </w:p>
        </w:tc>
        <w:tc>
          <w:tcPr>
            <w:tcW w:w="1123" w:type="dxa"/>
            <w:tcBorders>
              <w:tl2br w:val="nil"/>
              <w:tr2bl w:val="nil"/>
            </w:tcBorders>
            <w:noWrap w:val="0"/>
            <w:vAlign w:val="center"/>
          </w:tcPr>
          <w:p w14:paraId="60C88D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7.641</w:t>
            </w:r>
          </w:p>
        </w:tc>
        <w:tc>
          <w:tcPr>
            <w:tcW w:w="1123" w:type="dxa"/>
            <w:tcBorders>
              <w:tl2br w:val="nil"/>
              <w:tr2bl w:val="nil"/>
            </w:tcBorders>
            <w:noWrap w:val="0"/>
            <w:vAlign w:val="center"/>
          </w:tcPr>
          <w:p w14:paraId="3D1C14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11.057</w:t>
            </w:r>
          </w:p>
        </w:tc>
        <w:tc>
          <w:tcPr>
            <w:tcW w:w="1123" w:type="dxa"/>
            <w:tcBorders>
              <w:tl2br w:val="nil"/>
              <w:tr2bl w:val="nil"/>
            </w:tcBorders>
            <w:noWrap w:val="0"/>
            <w:vAlign w:val="center"/>
          </w:tcPr>
          <w:p w14:paraId="505ABC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default" w:ascii="Times New Roman" w:hAnsi="Times New Roman" w:cs="Times New Roman"/>
                <w:b w:val="0"/>
                <w:bCs/>
                <w:color w:val="auto"/>
                <w:kern w:val="2"/>
                <w:szCs w:val="21"/>
                <w:lang w:val="en-US" w:eastAsia="zh-CN" w:bidi="ar-SA"/>
              </w:rPr>
              <w:t>9.460</w:t>
            </w:r>
          </w:p>
        </w:tc>
      </w:tr>
      <w:tr w14:paraId="70DD1E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04" w:type="dxa"/>
            <w:tcBorders>
              <w:tl2br w:val="nil"/>
              <w:tr2bl w:val="nil"/>
            </w:tcBorders>
            <w:noWrap w:val="0"/>
            <w:vAlign w:val="top"/>
          </w:tcPr>
          <w:p w14:paraId="44F736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i/>
                <w:iCs w:val="0"/>
                <w:color w:val="auto"/>
                <w:kern w:val="2"/>
                <w:szCs w:val="24"/>
                <w:vertAlign w:val="baseline"/>
                <w:lang w:val="en-US" w:eastAsia="zh-CN" w:bidi="ar-SA"/>
              </w:rPr>
            </w:pPr>
            <w:r>
              <w:rPr>
                <w:rFonts w:hint="default" w:ascii="Times New Roman" w:hAnsi="Times New Roman" w:eastAsia="宋体" w:cs="Times New Roman"/>
                <w:i/>
                <w:iCs w:val="0"/>
                <w:color w:val="auto"/>
                <w:kern w:val="2"/>
                <w:szCs w:val="24"/>
                <w:vertAlign w:val="baseline"/>
                <w:lang w:val="en-US" w:eastAsia="zh-CN" w:bidi="ar-SA"/>
              </w:rPr>
              <w:t>P</w:t>
            </w:r>
          </w:p>
        </w:tc>
        <w:tc>
          <w:tcPr>
            <w:tcW w:w="804" w:type="dxa"/>
            <w:tcBorders>
              <w:tl2br w:val="nil"/>
              <w:tr2bl w:val="nil"/>
            </w:tcBorders>
            <w:noWrap w:val="0"/>
            <w:vAlign w:val="top"/>
          </w:tcPr>
          <w:p w14:paraId="2A9748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2"/>
                <w:szCs w:val="24"/>
                <w:vertAlign w:val="baseline"/>
                <w:lang w:val="en-US" w:eastAsia="zh-CN" w:bidi="ar-SA"/>
              </w:rPr>
            </w:pPr>
            <w:r>
              <w:rPr>
                <w:rFonts w:hint="default" w:ascii="Times New Roman" w:hAnsi="Times New Roman" w:eastAsia="宋体" w:cs="Times New Roman"/>
                <w:color w:val="auto"/>
                <w:kern w:val="2"/>
                <w:szCs w:val="24"/>
                <w:vertAlign w:val="baseline"/>
                <w:lang w:val="en-US" w:eastAsia="zh-CN" w:bidi="ar-SA"/>
              </w:rPr>
              <w:t>-</w:t>
            </w:r>
          </w:p>
        </w:tc>
        <w:tc>
          <w:tcPr>
            <w:tcW w:w="1128" w:type="dxa"/>
            <w:tcBorders>
              <w:tl2br w:val="nil"/>
              <w:tr2bl w:val="nil"/>
            </w:tcBorders>
            <w:noWrap w:val="0"/>
            <w:vAlign w:val="center"/>
          </w:tcPr>
          <w:p w14:paraId="45F808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125" w:type="dxa"/>
            <w:tcBorders>
              <w:tl2br w:val="nil"/>
              <w:tr2bl w:val="nil"/>
            </w:tcBorders>
            <w:noWrap w:val="0"/>
            <w:vAlign w:val="center"/>
          </w:tcPr>
          <w:p w14:paraId="74C151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123" w:type="dxa"/>
            <w:tcBorders>
              <w:tl2br w:val="nil"/>
              <w:tr2bl w:val="nil"/>
            </w:tcBorders>
            <w:noWrap w:val="0"/>
            <w:vAlign w:val="center"/>
          </w:tcPr>
          <w:p w14:paraId="128B3B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123" w:type="dxa"/>
            <w:tcBorders>
              <w:tl2br w:val="nil"/>
              <w:tr2bl w:val="nil"/>
            </w:tcBorders>
            <w:noWrap w:val="0"/>
            <w:vAlign w:val="center"/>
          </w:tcPr>
          <w:p w14:paraId="30FC92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123" w:type="dxa"/>
            <w:tcBorders>
              <w:tl2br w:val="nil"/>
              <w:tr2bl w:val="nil"/>
            </w:tcBorders>
            <w:noWrap w:val="0"/>
            <w:vAlign w:val="center"/>
          </w:tcPr>
          <w:p w14:paraId="781F85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123" w:type="dxa"/>
            <w:tcBorders>
              <w:tl2br w:val="nil"/>
              <w:tr2bl w:val="nil"/>
            </w:tcBorders>
            <w:noWrap w:val="0"/>
            <w:vAlign w:val="center"/>
          </w:tcPr>
          <w:p w14:paraId="04C57E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c>
          <w:tcPr>
            <w:tcW w:w="1123" w:type="dxa"/>
            <w:tcBorders>
              <w:tl2br w:val="nil"/>
              <w:tr2bl w:val="nil"/>
            </w:tcBorders>
            <w:noWrap w:val="0"/>
            <w:vAlign w:val="center"/>
          </w:tcPr>
          <w:p w14:paraId="47ADF0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color w:val="auto"/>
                <w:kern w:val="2"/>
                <w:szCs w:val="21"/>
                <w:lang w:val="en-US" w:eastAsia="zh-CN" w:bidi="ar-SA"/>
              </w:rPr>
            </w:pPr>
            <w:r>
              <w:rPr>
                <w:rFonts w:hint="eastAsia" w:cs="Times New Roman"/>
                <w:b w:val="0"/>
                <w:bCs/>
                <w:color w:val="auto"/>
                <w:kern w:val="2"/>
                <w:szCs w:val="21"/>
                <w:lang w:val="en-US" w:eastAsia="zh-CN" w:bidi="ar-SA"/>
              </w:rPr>
              <w:t>＜0.001</w:t>
            </w:r>
          </w:p>
        </w:tc>
      </w:tr>
    </w:tbl>
    <w:p w14:paraId="74A9538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b/>
          <w:color w:val="auto"/>
          <w:kern w:val="2"/>
          <w:sz w:val="28"/>
          <w:szCs w:val="28"/>
          <w:lang w:val="en-US" w:eastAsia="zh-CN" w:bidi="ar-SA"/>
        </w:rPr>
      </w:pPr>
      <w:r>
        <w:rPr>
          <w:rFonts w:hint="default" w:ascii="Times New Roman" w:hAnsi="Times New Roman" w:eastAsia="黑体" w:cs="Times New Roman"/>
          <w:b/>
          <w:color w:val="auto"/>
          <w:kern w:val="2"/>
          <w:sz w:val="28"/>
          <w:szCs w:val="28"/>
          <w:lang w:val="en-US" w:eastAsia="zh-CN" w:bidi="ar-SA"/>
        </w:rPr>
        <w:t>3讨论</w:t>
      </w:r>
    </w:p>
    <w:p w14:paraId="77FD0E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壮瑶医药为我国独具特色的民族医学体系，</w:t>
      </w:r>
      <w:r>
        <w:rPr>
          <w:rFonts w:hint="eastAsia" w:ascii="Times New Roman" w:hAnsi="Times New Roman" w:cs="Times New Roman"/>
          <w:b w:val="0"/>
          <w:bCs/>
          <w:color w:val="auto"/>
          <w:kern w:val="2"/>
          <w:sz w:val="21"/>
          <w:szCs w:val="21"/>
          <w:lang w:val="en-US" w:eastAsia="zh-CN" w:bidi="ar-SA"/>
        </w:rPr>
        <w:t>其</w:t>
      </w:r>
      <w:r>
        <w:rPr>
          <w:rFonts w:hint="default" w:ascii="Times New Roman" w:hAnsi="Times New Roman" w:eastAsia="宋体" w:cs="Times New Roman"/>
          <w:b w:val="0"/>
          <w:bCs/>
          <w:color w:val="auto"/>
          <w:kern w:val="2"/>
          <w:sz w:val="21"/>
          <w:szCs w:val="21"/>
          <w:lang w:val="en-US" w:eastAsia="zh-CN" w:bidi="ar-SA"/>
        </w:rPr>
        <w:t>非药物疗法以“外治内效、通络解毒、调气和神”为</w:t>
      </w:r>
      <w:r>
        <w:rPr>
          <w:rFonts w:hint="eastAsia" w:ascii="Times New Roman" w:hAnsi="Times New Roman" w:cs="Times New Roman"/>
          <w:b w:val="0"/>
          <w:bCs/>
          <w:color w:val="auto"/>
          <w:kern w:val="2"/>
          <w:sz w:val="21"/>
          <w:szCs w:val="21"/>
          <w:lang w:val="en-US" w:eastAsia="zh-CN" w:bidi="ar-SA"/>
        </w:rPr>
        <w:t>主</w:t>
      </w:r>
      <w:r>
        <w:rPr>
          <w:rFonts w:hint="default" w:ascii="Times New Roman" w:hAnsi="Times New Roman" w:eastAsia="宋体" w:cs="Times New Roman"/>
          <w:b w:val="0"/>
          <w:bCs/>
          <w:color w:val="auto"/>
          <w:kern w:val="2"/>
          <w:sz w:val="21"/>
          <w:szCs w:val="21"/>
          <w:lang w:val="en-US" w:eastAsia="zh-CN" w:bidi="ar-SA"/>
        </w:rPr>
        <w:t>，在疼痛</w:t>
      </w:r>
      <w:r>
        <w:rPr>
          <w:rFonts w:hint="eastAsia" w:ascii="Times New Roman" w:hAnsi="Times New Roman" w:cs="Times New Roman"/>
          <w:b w:val="0"/>
          <w:bCs/>
          <w:color w:val="auto"/>
          <w:kern w:val="2"/>
          <w:sz w:val="21"/>
          <w:szCs w:val="21"/>
          <w:lang w:val="en-US" w:eastAsia="zh-CN" w:bidi="ar-SA"/>
        </w:rPr>
        <w:t>等疾病治疗中具有独特疗效</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color w:val="auto"/>
          <w:kern w:val="2"/>
          <w:szCs w:val="24"/>
          <w:vertAlign w:val="superscript"/>
          <w:lang w:val="en-US" w:eastAsia="zh-CN" w:bidi="ar-SA"/>
        </w:rPr>
        <w:t>7</w:t>
      </w:r>
      <w:r>
        <w:rPr>
          <w:rFonts w:hint="eastAsia" w:ascii="Times New Roman" w:hAnsi="Times New Roman" w:eastAsia="宋体" w:cs="Times New Roman"/>
          <w:color w:val="auto"/>
          <w:kern w:val="2"/>
          <w:szCs w:val="24"/>
          <w:vertAlign w:val="superscript"/>
          <w:lang w:val="en-US" w:eastAsia="zh-CN" w:bidi="ar-SA"/>
        </w:rPr>
        <w:t>]</w:t>
      </w:r>
      <w:r>
        <w:rPr>
          <w:rFonts w:hint="eastAsia" w:ascii="Times New Roman" w:hAnsi="Times New Roman"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非药物疗法</w:t>
      </w:r>
      <w:r>
        <w:rPr>
          <w:rFonts w:hint="eastAsia" w:cs="Times New Roman"/>
          <w:b w:val="0"/>
          <w:bCs/>
          <w:color w:val="auto"/>
          <w:kern w:val="2"/>
          <w:sz w:val="21"/>
          <w:szCs w:val="21"/>
          <w:lang w:val="en-US" w:eastAsia="zh-CN" w:bidi="ar-SA"/>
        </w:rPr>
        <w:t>为治疗及维持健康期间不使用药物的治疗技术，随着个体健康需求多元化，以及现代医学模式的转变，目前非药物治疗已得到国家大力支持</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color w:val="auto"/>
          <w:kern w:val="2"/>
          <w:szCs w:val="24"/>
          <w:vertAlign w:val="superscript"/>
          <w:lang w:val="en-US" w:eastAsia="zh-CN" w:bidi="ar-SA"/>
        </w:rPr>
        <w:t>8</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医院</w:t>
      </w:r>
      <w:r>
        <w:rPr>
          <w:rFonts w:hint="eastAsia" w:ascii="Times New Roman" w:hAnsi="Times New Roman" w:cs="Times New Roman"/>
          <w:b w:val="0"/>
          <w:bCs/>
          <w:color w:val="auto"/>
          <w:kern w:val="2"/>
          <w:sz w:val="21"/>
          <w:szCs w:val="21"/>
          <w:lang w:val="en-US" w:eastAsia="zh-CN" w:bidi="ar-SA"/>
        </w:rPr>
        <w:t>也将</w:t>
      </w:r>
      <w:r>
        <w:rPr>
          <w:rFonts w:hint="default" w:ascii="Times New Roman" w:hAnsi="Times New Roman" w:eastAsia="宋体" w:cs="Times New Roman"/>
          <w:b w:val="0"/>
          <w:bCs/>
          <w:color w:val="auto"/>
          <w:kern w:val="2"/>
          <w:sz w:val="21"/>
          <w:szCs w:val="21"/>
          <w:lang w:val="en-US" w:eastAsia="zh-CN" w:bidi="ar-SA"/>
        </w:rPr>
        <w:t>非药物疗法占比</w:t>
      </w:r>
      <w:r>
        <w:rPr>
          <w:rFonts w:hint="eastAsia" w:ascii="Times New Roman" w:hAnsi="Times New Roman" w:cs="Times New Roman"/>
          <w:b w:val="0"/>
          <w:bCs/>
          <w:color w:val="auto"/>
          <w:kern w:val="2"/>
          <w:sz w:val="21"/>
          <w:szCs w:val="21"/>
          <w:lang w:val="en-US" w:eastAsia="zh-CN" w:bidi="ar-SA"/>
        </w:rPr>
        <w:t>纳入考核评估指标，其目的在于</w:t>
      </w:r>
      <w:r>
        <w:rPr>
          <w:rFonts w:hint="default" w:ascii="Times New Roman" w:hAnsi="Times New Roman" w:eastAsia="宋体" w:cs="Times New Roman"/>
          <w:b w:val="0"/>
          <w:bCs/>
          <w:color w:val="auto"/>
          <w:kern w:val="2"/>
          <w:sz w:val="21"/>
          <w:szCs w:val="21"/>
          <w:lang w:val="en-US" w:eastAsia="zh-CN" w:bidi="ar-SA"/>
        </w:rPr>
        <w:t>引导医院优化服务结构</w:t>
      </w:r>
      <w:r>
        <w:rPr>
          <w:rFonts w:hint="eastAsia" w:ascii="Times New Roman" w:hAnsi="Times New Roman"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降低过度用药风险。</w:t>
      </w:r>
      <w:r>
        <w:rPr>
          <w:rFonts w:hint="eastAsia" w:ascii="Times New Roman" w:hAnsi="Times New Roman" w:cs="Times New Roman"/>
          <w:b w:val="0"/>
          <w:bCs/>
          <w:color w:val="auto"/>
          <w:kern w:val="2"/>
          <w:sz w:val="21"/>
          <w:szCs w:val="21"/>
          <w:lang w:val="en-US" w:eastAsia="zh-CN" w:bidi="ar-SA"/>
        </w:rPr>
        <w:t>但目前门诊环境下，</w:t>
      </w:r>
      <w:r>
        <w:rPr>
          <w:rFonts w:hint="default" w:ascii="Times New Roman" w:hAnsi="Times New Roman" w:eastAsia="宋体" w:cs="Times New Roman"/>
          <w:b w:val="0"/>
          <w:bCs/>
          <w:color w:val="auto"/>
          <w:kern w:val="2"/>
          <w:sz w:val="21"/>
          <w:szCs w:val="21"/>
          <w:lang w:val="en-US" w:eastAsia="zh-CN" w:bidi="ar-SA"/>
        </w:rPr>
        <w:t>受诊疗习惯、人员能力、患者认知等因素</w:t>
      </w:r>
      <w:r>
        <w:rPr>
          <w:rFonts w:hint="eastAsia" w:ascii="Times New Roman" w:hAnsi="Times New Roman" w:cs="Times New Roman"/>
          <w:b w:val="0"/>
          <w:bCs/>
          <w:color w:val="auto"/>
          <w:kern w:val="2"/>
          <w:sz w:val="21"/>
          <w:szCs w:val="21"/>
          <w:lang w:val="en-US" w:eastAsia="zh-CN" w:bidi="ar-SA"/>
        </w:rPr>
        <w:t>影响，</w:t>
      </w:r>
      <w:r>
        <w:rPr>
          <w:rFonts w:hint="eastAsia" w:cs="Times New Roman"/>
          <w:b w:val="0"/>
          <w:bCs/>
          <w:color w:val="0000FF"/>
          <w:kern w:val="2"/>
          <w:sz w:val="21"/>
          <w:szCs w:val="21"/>
          <w:lang w:val="en-US" w:eastAsia="zh-CN" w:bidi="ar-SA"/>
        </w:rPr>
        <w:t>壮瑶医非药物疗法比例</w:t>
      </w:r>
      <w:r>
        <w:rPr>
          <w:rFonts w:hint="eastAsia" w:cs="Times New Roman"/>
          <w:b w:val="0"/>
          <w:bCs/>
          <w:color w:val="auto"/>
          <w:kern w:val="2"/>
          <w:sz w:val="21"/>
          <w:szCs w:val="21"/>
          <w:lang w:val="en-US" w:eastAsia="zh-CN" w:bidi="ar-SA"/>
        </w:rPr>
        <w:t>仍有待进一步提高。</w:t>
      </w:r>
    </w:p>
    <w:p w14:paraId="148388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PDSA循环通过计划、执行、研究、处理四阶段形成闭环质量改进，计划阶段通过鱼骨图从人、机、料、法、环完成根因</w:t>
      </w:r>
      <w:r>
        <w:rPr>
          <w:rFonts w:hint="eastAsia" w:ascii="Times New Roman" w:hAnsi="Times New Roman" w:cs="Times New Roman"/>
          <w:b w:val="0"/>
          <w:bCs/>
          <w:color w:val="auto"/>
          <w:kern w:val="2"/>
          <w:sz w:val="21"/>
          <w:szCs w:val="21"/>
          <w:lang w:val="en-US" w:eastAsia="zh-CN" w:bidi="ar-SA"/>
        </w:rPr>
        <w:t>分析</w:t>
      </w:r>
      <w:r>
        <w:rPr>
          <w:rFonts w:hint="default" w:ascii="Times New Roman" w:hAnsi="Times New Roman" w:eastAsia="宋体" w:cs="Times New Roman"/>
          <w:b w:val="0"/>
          <w:bCs/>
          <w:color w:val="auto"/>
          <w:kern w:val="2"/>
          <w:sz w:val="21"/>
          <w:szCs w:val="21"/>
          <w:lang w:val="en-US" w:eastAsia="zh-CN" w:bidi="ar-SA"/>
        </w:rPr>
        <w:t>，避免经验式整改；执行阶段针对原因制定精准措施；研究阶段以客观指标评价成效，识别薄弱环节；处理阶段将有效措施制度标准化，形成</w:t>
      </w:r>
      <w:r>
        <w:rPr>
          <w:rFonts w:hint="eastAsia" w:ascii="Times New Roman" w:hAnsi="Times New Roman" w:cs="Times New Roman"/>
          <w:b w:val="0"/>
          <w:bCs/>
          <w:color w:val="auto"/>
          <w:kern w:val="2"/>
          <w:sz w:val="21"/>
          <w:szCs w:val="21"/>
          <w:lang w:val="en-US" w:eastAsia="zh-CN" w:bidi="ar-SA"/>
        </w:rPr>
        <w:t>标准化流程</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color w:val="auto"/>
          <w:kern w:val="2"/>
          <w:szCs w:val="24"/>
          <w:vertAlign w:val="superscript"/>
          <w:lang w:val="en-US" w:eastAsia="zh-CN" w:bidi="ar-SA"/>
        </w:rPr>
        <w:t>9</w:t>
      </w:r>
      <w:r>
        <w:rPr>
          <w:rFonts w:hint="eastAsia" w:ascii="Times New Roman" w:hAnsi="Times New Roman" w:eastAsia="宋体" w:cs="Times New Roman"/>
          <w:color w:val="auto"/>
          <w:kern w:val="2"/>
          <w:szCs w:val="24"/>
          <w:vertAlign w:val="superscript"/>
          <w:lang w:val="en-US" w:eastAsia="zh-CN" w:bidi="ar-SA"/>
        </w:rPr>
        <w:t>]</w:t>
      </w:r>
      <w:r>
        <w:rPr>
          <w:rFonts w:hint="default" w:ascii="Times New Roman" w:hAnsi="Times New Roman" w:eastAsia="宋体" w:cs="Times New Roman"/>
          <w:b w:val="0"/>
          <w:bCs/>
          <w:color w:val="auto"/>
          <w:kern w:val="2"/>
          <w:sz w:val="21"/>
          <w:szCs w:val="21"/>
          <w:lang w:val="en-US" w:eastAsia="zh-CN" w:bidi="ar-SA"/>
        </w:rPr>
        <w:t>。本研究显示，观察组较对照组</w:t>
      </w:r>
      <w:r>
        <w:rPr>
          <w:rFonts w:hint="eastAsia" w:cs="Times New Roman"/>
          <w:color w:val="0000FF"/>
          <w:lang w:eastAsia="zh-CN"/>
        </w:rPr>
        <w:t>壮瑶医</w:t>
      </w:r>
      <w:r>
        <w:commentReference w:id="19"/>
      </w:r>
      <w:r>
        <w:rPr>
          <w:rFonts w:hint="default" w:ascii="Times New Roman" w:hAnsi="Times New Roman" w:eastAsia="宋体" w:cs="Times New Roman"/>
          <w:b w:val="0"/>
          <w:bCs/>
          <w:color w:val="auto"/>
          <w:kern w:val="2"/>
          <w:sz w:val="21"/>
          <w:szCs w:val="21"/>
          <w:lang w:val="en-US" w:eastAsia="zh-CN" w:bidi="ar-SA"/>
        </w:rPr>
        <w:t>非药物疗法使用率更高。考虑原因为，PDSA</w:t>
      </w:r>
      <w:r>
        <w:rPr>
          <w:rFonts w:hint="eastAsia" w:cs="Times New Roman"/>
          <w:b w:val="0"/>
          <w:bCs/>
          <w:color w:val="auto"/>
          <w:kern w:val="2"/>
          <w:sz w:val="21"/>
          <w:szCs w:val="21"/>
          <w:lang w:val="en-US" w:eastAsia="zh-CN" w:bidi="ar-SA"/>
        </w:rPr>
        <w:t>可采用鱼骨图深入明确</w:t>
      </w:r>
      <w:r>
        <w:rPr>
          <w:rFonts w:hint="default" w:ascii="Times New Roman" w:hAnsi="Times New Roman" w:eastAsia="宋体" w:cs="Times New Roman"/>
          <w:b w:val="0"/>
          <w:bCs/>
          <w:color w:val="auto"/>
          <w:kern w:val="2"/>
          <w:sz w:val="21"/>
          <w:szCs w:val="21"/>
          <w:lang w:val="en-US" w:eastAsia="zh-CN" w:bidi="ar-SA"/>
        </w:rPr>
        <w:t>非药物疗法使用</w:t>
      </w:r>
      <w:r>
        <w:rPr>
          <w:rFonts w:hint="eastAsia" w:cs="Times New Roman"/>
          <w:b w:val="0"/>
          <w:bCs/>
          <w:color w:val="auto"/>
          <w:kern w:val="2"/>
          <w:sz w:val="21"/>
          <w:szCs w:val="21"/>
          <w:lang w:val="en-US" w:eastAsia="zh-CN" w:bidi="ar-SA"/>
        </w:rPr>
        <w:t>影响因素，并提出针对性策略，采用</w:t>
      </w:r>
      <w:r>
        <w:rPr>
          <w:rFonts w:hint="default" w:ascii="Times New Roman" w:hAnsi="Times New Roman" w:eastAsia="宋体" w:cs="Times New Roman"/>
          <w:b w:val="0"/>
          <w:bCs/>
          <w:color w:val="auto"/>
          <w:kern w:val="2"/>
          <w:sz w:val="21"/>
          <w:szCs w:val="21"/>
          <w:lang w:val="en-US" w:eastAsia="zh-CN" w:bidi="ar-SA"/>
        </w:rPr>
        <w:t>医护培训、物料保障、绩效激励等关键环节，解决</w:t>
      </w:r>
      <w:r>
        <w:rPr>
          <w:rFonts w:hint="eastAsia" w:cs="Times New Roman"/>
          <w:b w:val="0"/>
          <w:bCs/>
          <w:color w:val="auto"/>
          <w:kern w:val="2"/>
          <w:sz w:val="21"/>
          <w:szCs w:val="21"/>
          <w:lang w:val="en-US" w:eastAsia="zh-CN" w:bidi="ar-SA"/>
        </w:rPr>
        <w:t>患者不接受、认知不足、条件不足等问题；同时制定标准化流程，可让</w:t>
      </w:r>
      <w:r>
        <w:rPr>
          <w:rFonts w:hint="default" w:ascii="Times New Roman" w:hAnsi="Times New Roman" w:eastAsia="宋体" w:cs="Times New Roman"/>
          <w:b w:val="0"/>
          <w:bCs/>
          <w:color w:val="auto"/>
          <w:kern w:val="2"/>
          <w:sz w:val="21"/>
          <w:szCs w:val="21"/>
          <w:lang w:val="en-US" w:eastAsia="zh-CN" w:bidi="ar-SA"/>
        </w:rPr>
        <w:t>医师</w:t>
      </w:r>
      <w:r>
        <w:rPr>
          <w:rFonts w:hint="eastAsia" w:cs="Times New Roman"/>
          <w:b w:val="0"/>
          <w:bCs/>
          <w:color w:val="auto"/>
          <w:kern w:val="2"/>
          <w:sz w:val="21"/>
          <w:szCs w:val="21"/>
          <w:lang w:val="en-US" w:eastAsia="zh-CN" w:bidi="ar-SA"/>
        </w:rPr>
        <w:t>操作更</w:t>
      </w:r>
      <w:r>
        <w:rPr>
          <w:rFonts w:hint="default" w:ascii="Times New Roman" w:hAnsi="Times New Roman" w:eastAsia="宋体" w:cs="Times New Roman"/>
          <w:b w:val="0"/>
          <w:bCs/>
          <w:color w:val="auto"/>
          <w:kern w:val="2"/>
          <w:sz w:val="21"/>
          <w:szCs w:val="21"/>
          <w:lang w:val="en-US" w:eastAsia="zh-CN" w:bidi="ar-SA"/>
        </w:rPr>
        <w:t>规范</w:t>
      </w:r>
      <w:r>
        <w:rPr>
          <w:rFonts w:hint="eastAsia"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患者接受度更高，</w:t>
      </w:r>
      <w:r>
        <w:rPr>
          <w:rFonts w:hint="eastAsia" w:cs="Times New Roman"/>
          <w:b w:val="0"/>
          <w:bCs/>
          <w:color w:val="auto"/>
          <w:kern w:val="2"/>
          <w:sz w:val="21"/>
          <w:szCs w:val="21"/>
          <w:lang w:val="en-US" w:eastAsia="zh-CN" w:bidi="ar-SA"/>
        </w:rPr>
        <w:t>从而进一步提高</w:t>
      </w:r>
      <w:r>
        <w:rPr>
          <w:rFonts w:hint="eastAsia" w:cs="Times New Roman"/>
          <w:color w:val="0000FF"/>
          <w:lang w:eastAsia="zh-CN"/>
        </w:rPr>
        <w:t>壮瑶医</w:t>
      </w:r>
      <w:r>
        <w:commentReference w:id="20"/>
      </w:r>
      <w:r>
        <w:rPr>
          <w:rFonts w:hint="default" w:ascii="Times New Roman" w:hAnsi="Times New Roman" w:eastAsia="宋体" w:cs="Times New Roman"/>
          <w:b w:val="0"/>
          <w:bCs/>
          <w:color w:val="auto"/>
          <w:kern w:val="2"/>
          <w:sz w:val="21"/>
          <w:szCs w:val="21"/>
          <w:lang w:val="en-US" w:eastAsia="zh-CN" w:bidi="ar-SA"/>
        </w:rPr>
        <w:t>非药物疗法使用率</w:t>
      </w:r>
      <w:r>
        <w:rPr>
          <w:rFonts w:hint="eastAsia" w:cs="Times New Roman"/>
          <w:b w:val="0"/>
          <w:bCs/>
          <w:color w:val="auto"/>
          <w:kern w:val="2"/>
          <w:sz w:val="21"/>
          <w:szCs w:val="21"/>
          <w:lang w:val="en-US" w:eastAsia="zh-CN" w:bidi="ar-SA"/>
        </w:rPr>
        <w:t>。</w:t>
      </w:r>
      <w:r>
        <w:rPr>
          <w:rFonts w:hint="default" w:ascii="Times New Roman" w:hAnsi="Times New Roman" w:eastAsia="宋体" w:cs="Times New Roman"/>
          <w:b w:val="0"/>
          <w:bCs/>
          <w:color w:val="auto"/>
          <w:kern w:val="2"/>
          <w:sz w:val="21"/>
          <w:szCs w:val="21"/>
          <w:lang w:val="en-US" w:eastAsia="zh-CN" w:bidi="ar-SA"/>
        </w:rPr>
        <w:t>本研究显示，观察组较对照组各项患者安全度评分更高。考虑原因为，PDSA</w:t>
      </w:r>
      <w:r>
        <w:rPr>
          <w:rFonts w:hint="eastAsia" w:cs="Times New Roman"/>
          <w:b w:val="0"/>
          <w:bCs/>
          <w:color w:val="auto"/>
          <w:kern w:val="2"/>
          <w:sz w:val="21"/>
          <w:szCs w:val="21"/>
          <w:lang w:val="en-US" w:eastAsia="zh-CN" w:bidi="ar-SA"/>
        </w:rPr>
        <w:t>循环中通过计划阶段明确原因，并执行针对性对策，通过加强培训、保障设备及物料、优化标准流程等一系列操作，管理层重视患者安全管理，医务人员执行及落实规范操作，患者可从环境感知到操作规范性及安全性，进一步提高自我认知，从而全面提高患者安全度评价。</w:t>
      </w:r>
      <w:r>
        <w:rPr>
          <w:rFonts w:hint="default" w:ascii="Times New Roman" w:hAnsi="Times New Roman" w:eastAsia="宋体" w:cs="Times New Roman"/>
          <w:b w:val="0"/>
          <w:bCs/>
          <w:color w:val="auto"/>
          <w:kern w:val="2"/>
          <w:sz w:val="21"/>
          <w:szCs w:val="21"/>
          <w:lang w:val="en-US" w:eastAsia="zh-CN" w:bidi="ar-SA"/>
        </w:rPr>
        <w:t>本研究显示，观察组较对照组门诊患者各项满意度评分更高。</w:t>
      </w:r>
      <w:r>
        <w:rPr>
          <w:rFonts w:hint="eastAsia" w:cs="Times New Roman"/>
          <w:b w:val="0"/>
          <w:bCs/>
          <w:color w:val="auto"/>
          <w:kern w:val="2"/>
          <w:sz w:val="21"/>
          <w:szCs w:val="21"/>
          <w:lang w:val="en-US" w:eastAsia="zh-CN" w:bidi="ar-SA"/>
        </w:rPr>
        <w:t>与</w:t>
      </w:r>
      <w:r>
        <w:rPr>
          <w:rFonts w:hint="default" w:ascii="Times New Roman" w:hAnsi="Times New Roman" w:eastAsia="宋体" w:cs="Times New Roman"/>
          <w:color w:val="auto"/>
          <w:kern w:val="2"/>
          <w:szCs w:val="24"/>
          <w:lang w:val="en-US" w:eastAsia="zh-CN" w:bidi="ar-SA"/>
        </w:rPr>
        <w:t>王银萍</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color w:val="auto"/>
          <w:kern w:val="2"/>
          <w:szCs w:val="24"/>
          <w:vertAlign w:val="superscript"/>
          <w:lang w:val="en-US" w:eastAsia="zh-CN" w:bidi="ar-SA"/>
        </w:rPr>
        <w:t>10</w:t>
      </w:r>
      <w:r>
        <w:rPr>
          <w:rFonts w:hint="eastAsia" w:ascii="Times New Roman" w:hAnsi="Times New Roman" w:eastAsia="宋体" w:cs="Times New Roman"/>
          <w:color w:val="auto"/>
          <w:kern w:val="2"/>
          <w:szCs w:val="24"/>
          <w:vertAlign w:val="superscript"/>
          <w:lang w:val="en-US" w:eastAsia="zh-CN" w:bidi="ar-SA"/>
        </w:rPr>
        <w:t>]</w:t>
      </w:r>
      <w:r>
        <w:rPr>
          <w:rFonts w:hint="eastAsia" w:cs="Times New Roman"/>
          <w:b w:val="0"/>
          <w:bCs/>
          <w:color w:val="auto"/>
          <w:kern w:val="2"/>
          <w:sz w:val="21"/>
          <w:szCs w:val="21"/>
          <w:lang w:val="en-US" w:eastAsia="zh-CN" w:bidi="ar-SA"/>
        </w:rPr>
        <w:t>等报道</w:t>
      </w:r>
      <w:r>
        <w:rPr>
          <w:rFonts w:hint="default" w:ascii="Times New Roman" w:hAnsi="Times New Roman" w:eastAsia="宋体" w:cs="Times New Roman"/>
          <w:b w:val="0"/>
          <w:bCs/>
          <w:color w:val="auto"/>
          <w:kern w:val="2"/>
          <w:sz w:val="21"/>
          <w:szCs w:val="21"/>
          <w:lang w:val="en-US" w:eastAsia="zh-CN" w:bidi="ar-SA"/>
        </w:rPr>
        <w:t>PDSA</w:t>
      </w:r>
      <w:r>
        <w:rPr>
          <w:rFonts w:hint="eastAsia" w:cs="Times New Roman"/>
          <w:b w:val="0"/>
          <w:bCs/>
          <w:color w:val="auto"/>
          <w:kern w:val="2"/>
          <w:sz w:val="21"/>
          <w:szCs w:val="21"/>
          <w:lang w:val="en-US" w:eastAsia="zh-CN" w:bidi="ar-SA"/>
        </w:rPr>
        <w:t>可改善患者满意度评价</w:t>
      </w:r>
      <w:r>
        <w:rPr>
          <w:rFonts w:hint="eastAsia" w:cs="Times New Roman"/>
          <w:b w:val="0"/>
          <w:bCs/>
          <w:color w:val="0000FF"/>
          <w:kern w:val="2"/>
          <w:sz w:val="21"/>
          <w:szCs w:val="21"/>
          <w:lang w:val="en-US" w:eastAsia="zh-CN" w:bidi="ar-SA"/>
        </w:rPr>
        <w:t>一致</w:t>
      </w:r>
      <w:r>
        <w:rPr>
          <w:color w:val="0000FF"/>
        </w:rPr>
        <w:commentReference w:id="21"/>
      </w:r>
      <w:r>
        <w:rPr>
          <w:rFonts w:hint="eastAsia" w:cs="Times New Roman"/>
          <w:b w:val="0"/>
          <w:bCs/>
          <w:color w:val="0000FF"/>
          <w:kern w:val="2"/>
          <w:sz w:val="21"/>
          <w:szCs w:val="21"/>
          <w:lang w:val="en-US" w:eastAsia="zh-CN" w:bidi="ar-SA"/>
        </w:rPr>
        <w:t>。</w:t>
      </w:r>
      <w:r>
        <w:rPr>
          <w:rFonts w:hint="eastAsia" w:cs="Times New Roman"/>
          <w:b w:val="0"/>
          <w:bCs/>
          <w:color w:val="auto"/>
          <w:kern w:val="2"/>
          <w:sz w:val="21"/>
          <w:szCs w:val="21"/>
          <w:lang w:val="en-US" w:eastAsia="zh-CN" w:bidi="ar-SA"/>
        </w:rPr>
        <w:t>考</w:t>
      </w:r>
      <w:r>
        <w:rPr>
          <w:rFonts w:hint="default" w:ascii="Times New Roman" w:hAnsi="Times New Roman" w:eastAsia="宋体" w:cs="Times New Roman"/>
          <w:b w:val="0"/>
          <w:bCs/>
          <w:color w:val="auto"/>
          <w:kern w:val="2"/>
          <w:sz w:val="21"/>
          <w:szCs w:val="21"/>
          <w:lang w:val="en-US" w:eastAsia="zh-CN" w:bidi="ar-SA"/>
        </w:rPr>
        <w:t>虑原因为，PDSA可</w:t>
      </w:r>
      <w:r>
        <w:rPr>
          <w:rFonts w:hint="eastAsia" w:cs="Times New Roman"/>
          <w:b w:val="0"/>
          <w:bCs/>
          <w:color w:val="auto"/>
          <w:kern w:val="2"/>
          <w:sz w:val="21"/>
          <w:szCs w:val="21"/>
          <w:lang w:val="en-US" w:eastAsia="zh-CN" w:bidi="ar-SA"/>
        </w:rPr>
        <w:t>通过优化环境，保护隐私，并设置宣教墙等环境，进一步提高患者信任感，</w:t>
      </w:r>
      <w:r>
        <w:rPr>
          <w:rFonts w:hint="default" w:ascii="Times New Roman" w:hAnsi="Times New Roman" w:eastAsia="宋体" w:cs="Times New Roman"/>
          <w:b w:val="0"/>
          <w:bCs/>
          <w:color w:val="auto"/>
          <w:kern w:val="2"/>
          <w:sz w:val="21"/>
          <w:szCs w:val="21"/>
          <w:lang w:val="en-US" w:eastAsia="zh-CN" w:bidi="ar-SA"/>
        </w:rPr>
        <w:t>收费透明化</w:t>
      </w:r>
      <w:r>
        <w:rPr>
          <w:rFonts w:hint="eastAsia" w:cs="Times New Roman"/>
          <w:b w:val="0"/>
          <w:bCs/>
          <w:color w:val="auto"/>
          <w:kern w:val="2"/>
          <w:sz w:val="21"/>
          <w:szCs w:val="21"/>
          <w:lang w:val="en-US" w:eastAsia="zh-CN" w:bidi="ar-SA"/>
        </w:rPr>
        <w:t>减少患者顾虑；同时医务人员需要主动沟通及告知患者</w:t>
      </w:r>
      <w:r>
        <w:rPr>
          <w:rFonts w:hint="default" w:ascii="Times New Roman" w:hAnsi="Times New Roman" w:eastAsia="宋体" w:cs="Times New Roman"/>
          <w:b w:val="0"/>
          <w:bCs/>
          <w:color w:val="auto"/>
          <w:kern w:val="2"/>
          <w:sz w:val="21"/>
          <w:szCs w:val="21"/>
          <w:lang w:val="en-US" w:eastAsia="zh-CN" w:bidi="ar-SA"/>
        </w:rPr>
        <w:t>非药物疗法</w:t>
      </w:r>
      <w:r>
        <w:rPr>
          <w:rFonts w:hint="eastAsia" w:cs="Times New Roman"/>
          <w:b w:val="0"/>
          <w:bCs/>
          <w:color w:val="auto"/>
          <w:kern w:val="2"/>
          <w:sz w:val="21"/>
          <w:szCs w:val="21"/>
          <w:lang w:val="en-US" w:eastAsia="zh-CN" w:bidi="ar-SA"/>
        </w:rPr>
        <w:t>机制等，加强沟通，可让患者感受人文关怀，从而进一步提高其满意度评价。</w:t>
      </w:r>
    </w:p>
    <w:p w14:paraId="29BF1A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s="Times New Roman"/>
          <w:b w:val="0"/>
          <w:bCs/>
          <w:color w:val="auto"/>
          <w:kern w:val="2"/>
          <w:sz w:val="21"/>
          <w:szCs w:val="21"/>
          <w:lang w:val="en-US" w:eastAsia="zh-CN" w:bidi="ar-SA"/>
        </w:rPr>
      </w:pPr>
      <w:r>
        <w:rPr>
          <w:rFonts w:hint="default" w:ascii="Times New Roman" w:hAnsi="Times New Roman" w:eastAsia="宋体" w:cs="Times New Roman"/>
          <w:b w:val="0"/>
          <w:bCs/>
          <w:color w:val="auto"/>
          <w:kern w:val="2"/>
          <w:sz w:val="21"/>
          <w:szCs w:val="21"/>
          <w:lang w:val="en-US" w:eastAsia="zh-CN" w:bidi="ar-SA"/>
        </w:rPr>
        <w:t>综上所述，PDSA可有效提高门诊患者</w:t>
      </w:r>
      <w:r>
        <w:rPr>
          <w:rFonts w:hint="eastAsia" w:cs="Times New Roman"/>
          <w:b w:val="0"/>
          <w:bCs/>
          <w:color w:val="0000FF"/>
          <w:kern w:val="2"/>
          <w:sz w:val="21"/>
          <w:szCs w:val="21"/>
          <w:lang w:val="en-US" w:eastAsia="zh-CN" w:bidi="ar-SA"/>
        </w:rPr>
        <w:t>壮瑶医非药物疗法比例</w:t>
      </w:r>
      <w:r>
        <w:rPr>
          <w:rFonts w:hint="default" w:ascii="Times New Roman" w:hAnsi="Times New Roman" w:eastAsia="宋体" w:cs="Times New Roman"/>
          <w:b w:val="0"/>
          <w:bCs/>
          <w:color w:val="auto"/>
          <w:kern w:val="2"/>
          <w:sz w:val="21"/>
          <w:szCs w:val="21"/>
          <w:lang w:val="en-US" w:eastAsia="zh-CN" w:bidi="ar-SA"/>
        </w:rPr>
        <w:t>及满意度评价，增强患者安全体验。</w:t>
      </w:r>
      <w:r>
        <w:rPr>
          <w:rFonts w:hint="eastAsia" w:cs="Times New Roman"/>
          <w:b w:val="0"/>
          <w:bCs/>
          <w:color w:val="auto"/>
          <w:kern w:val="2"/>
          <w:sz w:val="21"/>
          <w:szCs w:val="21"/>
          <w:lang w:val="en-US" w:eastAsia="zh-CN" w:bidi="ar-SA"/>
        </w:rPr>
        <w:t>然而研究仍存在一定局限性，未对不同年龄、性别的门诊患者影响作进一步分析，无法明确其具体干预效果，未来仍需要进一步细分，并实现</w:t>
      </w:r>
      <w:r>
        <w:rPr>
          <w:rFonts w:hint="default" w:ascii="Times New Roman" w:hAnsi="Times New Roman" w:eastAsia="宋体" w:cs="Times New Roman"/>
          <w:b w:val="0"/>
          <w:bCs/>
          <w:color w:val="auto"/>
          <w:kern w:val="2"/>
          <w:sz w:val="21"/>
          <w:szCs w:val="21"/>
          <w:lang w:val="en-US" w:eastAsia="zh-CN" w:bidi="ar-SA"/>
        </w:rPr>
        <w:t>PDSA</w:t>
      </w:r>
      <w:r>
        <w:rPr>
          <w:rFonts w:hint="eastAsia" w:cs="Times New Roman"/>
          <w:b w:val="0"/>
          <w:bCs/>
          <w:color w:val="auto"/>
          <w:kern w:val="2"/>
          <w:sz w:val="21"/>
          <w:szCs w:val="21"/>
          <w:lang w:val="en-US" w:eastAsia="zh-CN" w:bidi="ar-SA"/>
        </w:rPr>
        <w:t>针对性管理。</w:t>
      </w:r>
    </w:p>
    <w:p w14:paraId="5F376EC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auto"/>
          <w:kern w:val="2"/>
          <w:sz w:val="21"/>
          <w:szCs w:val="21"/>
          <w:lang w:val="en-US" w:eastAsia="zh-CN" w:bidi="ar-SA"/>
        </w:rPr>
      </w:pPr>
    </w:p>
    <w:p w14:paraId="7BF114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b/>
          <w:color w:val="auto"/>
          <w:kern w:val="2"/>
          <w:sz w:val="28"/>
          <w:szCs w:val="28"/>
          <w:lang w:val="en-US" w:eastAsia="zh-CN" w:bidi="ar-SA"/>
        </w:rPr>
      </w:pPr>
      <w:r>
        <w:rPr>
          <w:rFonts w:hint="default" w:ascii="Times New Roman" w:hAnsi="Times New Roman" w:eastAsia="黑体" w:cs="Times New Roman"/>
          <w:b/>
          <w:color w:val="auto"/>
          <w:kern w:val="2"/>
          <w:sz w:val="28"/>
          <w:szCs w:val="28"/>
          <w:lang w:val="en-US" w:eastAsia="zh-CN" w:bidi="ar-SA"/>
        </w:rPr>
        <w:t>参考文献</w:t>
      </w:r>
    </w:p>
    <w:p w14:paraId="1C4C5B7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 xml:space="preserve">[1] 谢锋,曾春晖,周改莲,等. 广西壮瑶药的传统炮制特色[J]. 吉林中医药,2022,42(5):595-598. </w:t>
      </w:r>
    </w:p>
    <w:p w14:paraId="6B5A48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2</w:t>
      </w:r>
      <w:r>
        <w:rPr>
          <w:rFonts w:hint="default" w:ascii="Times New Roman" w:hAnsi="Times New Roman" w:eastAsia="宋体" w:cs="Times New Roman"/>
          <w:color w:val="auto"/>
          <w:kern w:val="2"/>
          <w:szCs w:val="24"/>
          <w:lang w:val="en-US" w:eastAsia="zh-CN" w:bidi="ar-SA"/>
        </w:rPr>
        <w:t xml:space="preserve">] 王芬,黎裕朝,彭华,等. 瑶医神火灸联合中医熏蒸治疗脑卒中后肩手综合征患者的效果及对患者血液流变学的影响[J]. 广西医学,2022,44(17):1986-1990. </w:t>
      </w:r>
    </w:p>
    <w:p w14:paraId="56ED21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3</w:t>
      </w:r>
      <w:r>
        <w:rPr>
          <w:rFonts w:hint="default" w:ascii="Times New Roman" w:hAnsi="Times New Roman" w:eastAsia="宋体" w:cs="Times New Roman"/>
          <w:color w:val="auto"/>
          <w:kern w:val="2"/>
          <w:szCs w:val="24"/>
          <w:lang w:val="en-US" w:eastAsia="zh-CN" w:bidi="ar-SA"/>
        </w:rPr>
        <w:t>] 郭然,赵琪,刘远立. 我国三级中医医院门诊患者中医药特色服务利用情况调查[J]. 中国卫生事业管理,2024,41(3):255-258.</w:t>
      </w:r>
    </w:p>
    <w:p w14:paraId="4CAE91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4</w:t>
      </w:r>
      <w:r>
        <w:rPr>
          <w:rFonts w:hint="default" w:ascii="Times New Roman" w:hAnsi="Times New Roman" w:eastAsia="宋体" w:cs="Times New Roman"/>
          <w:color w:val="auto"/>
          <w:kern w:val="2"/>
          <w:szCs w:val="24"/>
          <w:lang w:val="en-US" w:eastAsia="zh-CN" w:bidi="ar-SA"/>
        </w:rPr>
        <w:t>] 周璇,张丹. 基于PDSA理论构建医联体下老年共病整合管理模式[J]. 中国全科医学,2024,27(2):192-200.</w:t>
      </w:r>
    </w:p>
    <w:p w14:paraId="5FB9AD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5</w:t>
      </w:r>
      <w:r>
        <w:rPr>
          <w:rFonts w:hint="default" w:ascii="Times New Roman" w:hAnsi="Times New Roman" w:eastAsia="宋体" w:cs="Times New Roman"/>
          <w:color w:val="auto"/>
          <w:kern w:val="2"/>
          <w:szCs w:val="24"/>
          <w:lang w:val="en-US" w:eastAsia="zh-CN" w:bidi="ar-SA"/>
        </w:rPr>
        <w:t xml:space="preserve">] 吴芬,曾维艳,陈虹秀,等. 门诊患者安全文化调查问卷的汉化及信效度检验[J]. 中华现代护理杂志,2022,28(6):726-731. </w:t>
      </w:r>
    </w:p>
    <w:p w14:paraId="6B5FAF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6</w:t>
      </w:r>
      <w:r>
        <w:rPr>
          <w:rFonts w:hint="default" w:ascii="Times New Roman" w:hAnsi="Times New Roman" w:eastAsia="宋体" w:cs="Times New Roman"/>
          <w:color w:val="auto"/>
          <w:kern w:val="2"/>
          <w:szCs w:val="24"/>
          <w:lang w:val="en-US" w:eastAsia="zh-CN" w:bidi="ar-SA"/>
        </w:rPr>
        <w:t xml:space="preserve">] 李小卫,张岩,王志稳,等. 门诊患者满意度问卷的编制及信效度检验[J]. 中华现代护理杂志,2013,19(15):1737-1740. </w:t>
      </w:r>
    </w:p>
    <w:p w14:paraId="1196AF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7</w:t>
      </w:r>
      <w:r>
        <w:rPr>
          <w:rFonts w:hint="default" w:ascii="Times New Roman" w:hAnsi="Times New Roman" w:eastAsia="宋体" w:cs="Times New Roman"/>
          <w:color w:val="auto"/>
          <w:kern w:val="2"/>
          <w:szCs w:val="24"/>
          <w:lang w:val="en-US" w:eastAsia="zh-CN" w:bidi="ar-SA"/>
        </w:rPr>
        <w:t xml:space="preserve">] 施学丽,黄辰杰,张青槐,等. 壮医针刺脐环穴治疗紧张性头痛的临床研究[J]. 中国中医急症,2025,34(1):47-50. </w:t>
      </w:r>
    </w:p>
    <w:p w14:paraId="3A75FDF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8</w:t>
      </w:r>
      <w:r>
        <w:rPr>
          <w:rFonts w:hint="default" w:ascii="Times New Roman" w:hAnsi="Times New Roman" w:eastAsia="宋体" w:cs="Times New Roman"/>
          <w:color w:val="auto"/>
          <w:kern w:val="2"/>
          <w:szCs w:val="24"/>
          <w:lang w:val="en-US" w:eastAsia="zh-CN" w:bidi="ar-SA"/>
        </w:rPr>
        <w:t xml:space="preserve">] 程方姝,刘秀文,仲伟伟. 基于疾病诊断相关分组支付改革在医院中医非药物治疗管理中的作用[J]. 中国医药导报,2024,21(33):145-149. </w:t>
      </w:r>
    </w:p>
    <w:p w14:paraId="5973A35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9</w:t>
      </w:r>
      <w:r>
        <w:rPr>
          <w:rFonts w:hint="default" w:ascii="Times New Roman" w:hAnsi="Times New Roman" w:eastAsia="宋体" w:cs="Times New Roman"/>
          <w:color w:val="auto"/>
          <w:kern w:val="2"/>
          <w:szCs w:val="24"/>
          <w:lang w:val="en-US" w:eastAsia="zh-CN" w:bidi="ar-SA"/>
        </w:rPr>
        <w:t xml:space="preserve">] 刘海燕,王松. PDSA管理方法对医疗质量指标填报正确率的影响[J]. 中国病案,2025,26(9):20-23. </w:t>
      </w:r>
    </w:p>
    <w:p w14:paraId="03E549E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Cs w:val="24"/>
          <w:lang w:val="en-US" w:eastAsia="zh-CN" w:bidi="ar-SA"/>
        </w:rPr>
      </w:pPr>
      <w:r>
        <w:rPr>
          <w:rFonts w:hint="default" w:ascii="Times New Roman" w:hAnsi="Times New Roman" w:eastAsia="宋体" w:cs="Times New Roman"/>
          <w:color w:val="auto"/>
          <w:kern w:val="2"/>
          <w:szCs w:val="24"/>
          <w:lang w:val="en-US" w:eastAsia="zh-CN" w:bidi="ar-SA"/>
        </w:rPr>
        <w:t>[</w:t>
      </w:r>
      <w:r>
        <w:rPr>
          <w:rFonts w:hint="default" w:ascii="Times New Roman" w:hAnsi="Times New Roman" w:cs="Times New Roman"/>
          <w:color w:val="auto"/>
          <w:kern w:val="2"/>
          <w:szCs w:val="24"/>
          <w:lang w:val="en-US" w:eastAsia="zh-CN" w:bidi="ar-SA"/>
        </w:rPr>
        <w:t>10</w:t>
      </w:r>
      <w:r>
        <w:rPr>
          <w:rFonts w:hint="default" w:ascii="Times New Roman" w:hAnsi="Times New Roman" w:eastAsia="宋体" w:cs="Times New Roman"/>
          <w:color w:val="auto"/>
          <w:kern w:val="2"/>
          <w:szCs w:val="24"/>
          <w:lang w:val="en-US" w:eastAsia="zh-CN" w:bidi="ar-SA"/>
        </w:rPr>
        <w:t xml:space="preserve">]王银萍,戴雅琴,童欢. PDSA循环法在降低中药饮片调剂差错中的应用[J]. 中医药管理杂志,2025,33(14):92-94. </w:t>
      </w:r>
    </w:p>
    <w:p w14:paraId="5EB3604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rPr>
      </w:pPr>
    </w:p>
    <w:p w14:paraId="52AB072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rPr>
      </w:pPr>
    </w:p>
    <w:sectPr>
      <w:pgSz w:w="11906" w:h="16838"/>
      <w:pgMar w:top="1440" w:right="1800" w:bottom="1440" w:left="180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兔子" w:date="2026-04-02T17:25:22Z" w:initials="">
    <w:p w14:paraId="0E032E04">
      <w:pPr>
        <w:pStyle w:val="2"/>
        <w:rPr>
          <w:rFonts w:hint="eastAsia" w:eastAsia="宋体"/>
          <w:lang w:val="en-US" w:eastAsia="zh-CN"/>
        </w:rPr>
      </w:pPr>
      <w:r>
        <w:rPr>
          <w:rFonts w:hint="eastAsia"/>
          <w:lang w:val="en-US" w:eastAsia="zh-CN"/>
        </w:rPr>
        <w:t>插入“壮瑶医”</w:t>
      </w:r>
    </w:p>
  </w:comment>
  <w:comment w:id="1" w:author="范兔子" w:date="2026-04-02T17:25:49Z" w:initials="">
    <w:p w14:paraId="29540B97">
      <w:pPr>
        <w:pStyle w:val="2"/>
        <w:rPr>
          <w:rFonts w:hint="eastAsia" w:eastAsia="宋体"/>
          <w:lang w:val="en-US" w:eastAsia="zh-CN"/>
        </w:rPr>
      </w:pPr>
      <w:r>
        <w:rPr>
          <w:rFonts w:hint="eastAsia"/>
          <w:lang w:val="en-US" w:eastAsia="zh-CN"/>
        </w:rPr>
        <w:t>插入“壮瑶医”</w:t>
      </w:r>
    </w:p>
  </w:comment>
  <w:comment w:id="2" w:author="范兔子" w:date="2026-04-02T17:26:34Z" w:initials="">
    <w:p w14:paraId="59677F1F">
      <w:pPr>
        <w:pStyle w:val="2"/>
        <w:rPr>
          <w:rFonts w:hint="eastAsia" w:eastAsia="宋体"/>
          <w:lang w:val="en-US" w:eastAsia="zh-CN"/>
        </w:rPr>
      </w:pPr>
      <w:r>
        <w:rPr>
          <w:rFonts w:hint="eastAsia"/>
          <w:lang w:val="en-US" w:eastAsia="zh-CN"/>
        </w:rPr>
        <w:t>插入“壮瑶医”</w:t>
      </w:r>
    </w:p>
  </w:comment>
  <w:comment w:id="3" w:author="范兔子" w:date="2026-04-02T17:26:59Z" w:initials="">
    <w:p w14:paraId="66793D85">
      <w:pPr>
        <w:pStyle w:val="2"/>
        <w:rPr>
          <w:rFonts w:hint="eastAsia" w:eastAsia="宋体"/>
          <w:lang w:val="en-US" w:eastAsia="zh-CN"/>
        </w:rPr>
      </w:pPr>
      <w:r>
        <w:rPr>
          <w:rFonts w:hint="eastAsia"/>
          <w:lang w:val="en-US" w:eastAsia="zh-CN"/>
        </w:rPr>
        <w:t>插入“壮瑶医”</w:t>
      </w:r>
    </w:p>
  </w:comment>
  <w:comment w:id="4" w:author="范兔子" w:date="2026-04-02T17:27:21Z" w:initials="">
    <w:p w14:paraId="70482123">
      <w:pPr>
        <w:pStyle w:val="2"/>
        <w:rPr>
          <w:rFonts w:hint="eastAsia" w:eastAsia="宋体"/>
          <w:lang w:val="en-US" w:eastAsia="zh-CN"/>
        </w:rPr>
      </w:pPr>
      <w:r>
        <w:rPr>
          <w:rFonts w:hint="eastAsia"/>
          <w:lang w:val="en-US" w:eastAsia="zh-CN"/>
        </w:rPr>
        <w:t>壮瑶医</w:t>
      </w:r>
    </w:p>
  </w:comment>
  <w:comment w:id="5" w:author="范兔子" w:date="2026-04-02T17:27:59Z" w:initials="">
    <w:p w14:paraId="76BB665E">
      <w:pPr>
        <w:pStyle w:val="2"/>
        <w:rPr>
          <w:rFonts w:hint="eastAsia" w:eastAsia="宋体"/>
          <w:lang w:val="en-US" w:eastAsia="zh-CN"/>
        </w:rPr>
      </w:pPr>
      <w:r>
        <w:rPr>
          <w:rFonts w:hint="eastAsia"/>
          <w:lang w:val="en-US" w:eastAsia="zh-CN"/>
        </w:rPr>
        <w:t>壮瑶医</w:t>
      </w:r>
    </w:p>
  </w:comment>
  <w:comment w:id="6" w:author="范兔子" w:date="2026-04-02T17:29:44Z" w:initials="">
    <w:p w14:paraId="0CC15635">
      <w:pPr>
        <w:pStyle w:val="2"/>
        <w:rPr>
          <w:rFonts w:hint="eastAsia" w:eastAsia="宋体"/>
          <w:lang w:eastAsia="zh-CN"/>
        </w:rPr>
      </w:pPr>
      <w:r>
        <w:rPr>
          <w:rFonts w:hint="eastAsia" w:ascii="宋体" w:hAnsi="宋体"/>
          <w:sz w:val="28"/>
          <w:szCs w:val="28"/>
        </w:rPr>
        <w:t>壮瑶医非药物疗法是指患者使用以壮瑶医理论为指导，</w:t>
      </w:r>
      <w:r>
        <w:rPr>
          <w:rFonts w:hint="default" w:ascii="Times New Roman" w:hAnsi="Times New Roman" w:cs="Times New Roman"/>
          <w:color w:val="auto"/>
          <w:kern w:val="2"/>
          <w:szCs w:val="21"/>
          <w:lang w:val="en-US" w:eastAsia="zh-CN" w:bidi="ar-SA"/>
        </w:rPr>
        <w:t>不依赖内服药物，通过手法、器具、外治、导引等方式开展的</w:t>
      </w:r>
      <w:r>
        <w:rPr>
          <w:rFonts w:hint="eastAsia" w:ascii="宋体" w:hAnsi="宋体"/>
          <w:sz w:val="28"/>
          <w:szCs w:val="28"/>
        </w:rPr>
        <w:t>能发挥壮瑶医药特色优势的临床实用技术，包括壮医经筋治疗、壮医刮痧排毒治疗、壮医药物竹罐治疗、壮医莲花针拔罐逐瘀治疗、壮医敷贴治疗等多种壮瑶医医疗技术</w:t>
      </w:r>
      <w:r>
        <w:rPr>
          <w:rFonts w:hint="eastAsia" w:ascii="宋体" w:hAnsi="宋体"/>
          <w:sz w:val="28"/>
          <w:szCs w:val="28"/>
          <w:lang w:eastAsia="zh-CN"/>
        </w:rPr>
        <w:t>，</w:t>
      </w:r>
    </w:p>
  </w:comment>
  <w:comment w:id="7" w:author="范兔子" w:date="2026-04-02T17:33:14Z" w:initials="">
    <w:p w14:paraId="2F32161F">
      <w:pPr>
        <w:pStyle w:val="2"/>
        <w:rPr>
          <w:rFonts w:hint="default" w:eastAsia="宋体"/>
          <w:lang w:val="en-US" w:eastAsia="zh-CN"/>
        </w:rPr>
      </w:pPr>
      <w:r>
        <w:rPr>
          <w:rFonts w:hint="eastAsia"/>
          <w:lang w:val="en-US" w:eastAsia="zh-CN"/>
        </w:rPr>
        <w:t>2023年我院</w:t>
      </w:r>
      <w:r>
        <w:rPr>
          <w:rFonts w:hint="eastAsia"/>
        </w:rPr>
        <w:t>非药物诊疗人次占门诊总人次的比例</w:t>
      </w:r>
      <w:r>
        <w:rPr>
          <w:rFonts w:hint="eastAsia"/>
          <w:lang w:val="en-US" w:eastAsia="zh-CN"/>
        </w:rPr>
        <w:t>仅为17.36%，虽已达到国家三级公立绩效考核指标要求，但仍有很大的提升空间</w:t>
      </w:r>
    </w:p>
  </w:comment>
  <w:comment w:id="8" w:author="范兔子" w:date="2026-04-03T09:20:49Z" w:initials="">
    <w:p w14:paraId="47B84FE5">
      <w:pPr>
        <w:pStyle w:val="2"/>
        <w:rPr>
          <w:rFonts w:hint="eastAsia" w:eastAsia="宋体"/>
          <w:lang w:val="en-US" w:eastAsia="zh-CN"/>
        </w:rPr>
      </w:pPr>
      <w:r>
        <w:rPr>
          <w:rFonts w:hint="eastAsia"/>
          <w:lang w:val="en-US" w:eastAsia="zh-CN"/>
        </w:rPr>
        <w:t>壮瑶医</w:t>
      </w:r>
    </w:p>
  </w:comment>
  <w:comment w:id="9" w:author="范兔子" w:date="2026-04-03T10:12:26Z" w:initials="">
    <w:p w14:paraId="640F3968">
      <w:pPr>
        <w:pStyle w:val="2"/>
        <w:rPr>
          <w:rFonts w:hint="eastAsia" w:eastAsia="宋体"/>
          <w:lang w:val="en-US" w:eastAsia="zh-CN"/>
        </w:rPr>
      </w:pPr>
      <w:r>
        <w:rPr>
          <w:rFonts w:hint="eastAsia"/>
          <w:lang w:val="en-US" w:eastAsia="zh-CN"/>
        </w:rPr>
        <w:t>删除</w:t>
      </w:r>
    </w:p>
  </w:comment>
  <w:comment w:id="10" w:author="范兔子" w:date="2026-04-03T10:54:42Z" w:initials="">
    <w:p w14:paraId="2C11036B">
      <w:pPr>
        <w:pStyle w:val="2"/>
        <w:rPr>
          <w:rFonts w:hint="default" w:eastAsia="宋体"/>
          <w:lang w:val="en-US" w:eastAsia="zh-CN"/>
        </w:rPr>
      </w:pPr>
      <w:r>
        <w:rPr>
          <w:rFonts w:hint="eastAsia"/>
          <w:lang w:val="en-US" w:eastAsia="zh-CN"/>
        </w:rPr>
        <w:t>门诊办公室、护理部、医疗质量管理办公室</w:t>
      </w:r>
    </w:p>
    <w:p w14:paraId="35742FDC">
      <w:pPr>
        <w:pStyle w:val="2"/>
      </w:pPr>
    </w:p>
  </w:comment>
  <w:comment w:id="11" w:author="范兔子" w:date="2026-04-03T10:16:13Z" w:initials="">
    <w:p w14:paraId="0A211330">
      <w:pPr>
        <w:pStyle w:val="2"/>
        <w:rPr>
          <w:rFonts w:hint="default" w:eastAsia="宋体"/>
          <w:lang w:val="en-US" w:eastAsia="zh-CN"/>
        </w:rPr>
      </w:pPr>
      <w:r>
        <w:rPr>
          <w:rFonts w:hint="eastAsia"/>
          <w:lang w:val="en-US" w:eastAsia="zh-CN"/>
        </w:rPr>
        <w:t>壮瑶医</w:t>
      </w:r>
    </w:p>
  </w:comment>
  <w:comment w:id="12" w:author="范兔子" w:date="2026-04-03T10:16:26Z" w:initials="">
    <w:p w14:paraId="1E8921CB">
      <w:pPr>
        <w:pStyle w:val="2"/>
        <w:rPr>
          <w:rFonts w:hint="default" w:eastAsia="宋体"/>
          <w:lang w:val="en-US" w:eastAsia="zh-CN"/>
        </w:rPr>
      </w:pPr>
      <w:r>
        <w:rPr>
          <w:rFonts w:hint="eastAsia"/>
          <w:lang w:eastAsia="zh-CN"/>
        </w:rPr>
        <w:t>、</w:t>
      </w:r>
      <w:r>
        <w:rPr>
          <w:rFonts w:hint="eastAsia"/>
          <w:lang w:val="en-US" w:eastAsia="zh-CN"/>
        </w:rPr>
        <w:t>考核</w:t>
      </w:r>
    </w:p>
  </w:comment>
  <w:comment w:id="13" w:author="范兔子" w:date="2026-04-03T10:17:57Z" w:initials="">
    <w:p w14:paraId="1F667191">
      <w:pPr>
        <w:pStyle w:val="2"/>
        <w:rPr>
          <w:rFonts w:hint="default" w:eastAsia="宋体"/>
          <w:lang w:val="en-US" w:eastAsia="zh-CN"/>
        </w:rPr>
      </w:pPr>
      <w:r>
        <w:rPr>
          <w:rFonts w:hint="eastAsia"/>
          <w:lang w:val="en-US" w:eastAsia="zh-CN"/>
        </w:rPr>
        <w:t>门诊多区域公示</w:t>
      </w:r>
    </w:p>
  </w:comment>
  <w:comment w:id="14" w:author="范兔子" w:date="2026-04-03T10:18:16Z" w:initials="">
    <w:p w14:paraId="7ACC590F">
      <w:pPr>
        <w:pStyle w:val="2"/>
        <w:rPr>
          <w:rFonts w:hint="default" w:eastAsia="宋体"/>
          <w:lang w:val="en-US" w:eastAsia="zh-CN"/>
        </w:rPr>
      </w:pPr>
      <w:r>
        <w:rPr>
          <w:rFonts w:hint="eastAsia"/>
          <w:lang w:val="en-US" w:eastAsia="zh-CN"/>
        </w:rPr>
        <w:t>壮瑶医</w:t>
      </w:r>
    </w:p>
  </w:comment>
  <w:comment w:id="15" w:author="范兔子" w:date="2026-04-03T10:21:10Z" w:initials="">
    <w:p w14:paraId="667520DF">
      <w:pPr>
        <w:pStyle w:val="2"/>
        <w:rPr>
          <w:rFonts w:hint="default" w:eastAsia="宋体"/>
          <w:lang w:val="en-US" w:eastAsia="zh-CN"/>
        </w:rPr>
      </w:pPr>
      <w:r>
        <w:rPr>
          <w:rFonts w:hint="eastAsia"/>
          <w:lang w:val="en-US" w:eastAsia="zh-CN"/>
        </w:rPr>
        <w:t>壮瑶医</w:t>
      </w:r>
    </w:p>
  </w:comment>
  <w:comment w:id="16" w:author="范兔子" w:date="2026-04-03T10:21:43Z" w:initials="">
    <w:p w14:paraId="75A82133">
      <w:pPr>
        <w:pStyle w:val="2"/>
        <w:rPr>
          <w:rFonts w:hint="default" w:eastAsia="宋体"/>
          <w:lang w:val="en-US" w:eastAsia="zh-CN"/>
        </w:rPr>
      </w:pPr>
      <w:r>
        <w:rPr>
          <w:rFonts w:hint="eastAsia"/>
          <w:lang w:val="en-US" w:eastAsia="zh-CN"/>
        </w:rPr>
        <w:t>壮瑶医</w:t>
      </w:r>
    </w:p>
  </w:comment>
  <w:comment w:id="17" w:author="范兔子" w:date="2026-04-03T10:24:32Z" w:initials="">
    <w:p w14:paraId="233334AA">
      <w:pPr>
        <w:pStyle w:val="2"/>
        <w:rPr>
          <w:rFonts w:hint="default" w:eastAsia="宋体"/>
          <w:lang w:val="en-US" w:eastAsia="zh-CN"/>
        </w:rPr>
      </w:pPr>
      <w:r>
        <w:rPr>
          <w:rFonts w:hint="eastAsia"/>
          <w:lang w:val="en-US" w:eastAsia="zh-CN"/>
        </w:rPr>
        <w:t>门诊患者使用</w:t>
      </w:r>
      <w:r>
        <w:rPr>
          <w:rFonts w:hint="eastAsia"/>
          <w:color w:val="0000FF"/>
          <w:lang w:val="en-US" w:eastAsia="zh-CN"/>
        </w:rPr>
        <w:t>壮瑶医非药物疗法比例</w:t>
      </w:r>
      <w:r>
        <w:rPr>
          <w:rFonts w:hint="eastAsia"/>
          <w:lang w:val="en-US" w:eastAsia="zh-CN"/>
        </w:rPr>
        <w:t>=门诊患者使用壮瑶医非药物疗法总人次数/同期门诊总人数×100%</w:t>
      </w:r>
    </w:p>
  </w:comment>
  <w:comment w:id="18" w:author="范兔子" w:date="2026-04-03T10:28:15Z" w:initials="">
    <w:p w14:paraId="184A72DB">
      <w:pPr>
        <w:pStyle w:val="2"/>
        <w:rPr>
          <w:rFonts w:hint="eastAsia" w:eastAsia="宋体"/>
          <w:lang w:val="en-US" w:eastAsia="zh-CN"/>
        </w:rPr>
      </w:pPr>
      <w:r>
        <w:rPr>
          <w:rFonts w:hint="eastAsia"/>
          <w:lang w:val="en-US" w:eastAsia="zh-CN"/>
        </w:rPr>
        <w:t>壮瑶医</w:t>
      </w:r>
    </w:p>
  </w:comment>
  <w:comment w:id="19" w:author="范兔子" w:date="2026-04-03T10:32:38Z" w:initials="">
    <w:p w14:paraId="7F48783F">
      <w:pPr>
        <w:pStyle w:val="2"/>
        <w:rPr>
          <w:rFonts w:hint="eastAsia" w:eastAsia="宋体"/>
          <w:lang w:val="en-US" w:eastAsia="zh-CN"/>
        </w:rPr>
      </w:pPr>
      <w:r>
        <w:rPr>
          <w:rFonts w:hint="eastAsia"/>
          <w:lang w:val="en-US" w:eastAsia="zh-CN"/>
        </w:rPr>
        <w:t>壮瑶医</w:t>
      </w:r>
    </w:p>
  </w:comment>
  <w:comment w:id="20" w:author="范兔子" w:date="2026-04-03T10:33:03Z" w:initials="">
    <w:p w14:paraId="69B06E5F">
      <w:pPr>
        <w:pStyle w:val="2"/>
        <w:rPr>
          <w:rFonts w:hint="eastAsia" w:eastAsia="宋体"/>
          <w:lang w:val="en-US" w:eastAsia="zh-CN"/>
        </w:rPr>
      </w:pPr>
      <w:r>
        <w:rPr>
          <w:rFonts w:hint="eastAsia"/>
          <w:lang w:val="en-US" w:eastAsia="zh-CN"/>
        </w:rPr>
        <w:t>壮瑶医</w:t>
      </w:r>
    </w:p>
  </w:comment>
  <w:comment w:id="21" w:author="范兔子" w:date="2026-04-03T10:32:08Z" w:initials="">
    <w:p w14:paraId="4AD15E6F">
      <w:pPr>
        <w:pStyle w:val="2"/>
        <w:rPr>
          <w:rFonts w:hint="eastAsia" w:eastAsia="宋体"/>
          <w:lang w:val="en-US" w:eastAsia="zh-CN"/>
        </w:rPr>
      </w:pPr>
      <w:r>
        <w:rPr>
          <w:rFonts w:hint="eastAsia"/>
          <w:lang w:val="en-US" w:eastAsia="zh-CN"/>
        </w:rPr>
        <w:t>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E032E04" w15:done="0"/>
  <w15:commentEx w15:paraId="29540B97" w15:done="1"/>
  <w15:commentEx w15:paraId="59677F1F" w15:done="1"/>
  <w15:commentEx w15:paraId="66793D85" w15:done="1"/>
  <w15:commentEx w15:paraId="70482123" w15:done="1"/>
  <w15:commentEx w15:paraId="76BB665E" w15:done="1"/>
  <w15:commentEx w15:paraId="0CC15635" w15:done="1"/>
  <w15:commentEx w15:paraId="2F32161F" w15:done="1"/>
  <w15:commentEx w15:paraId="47B84FE5" w15:done="1"/>
  <w15:commentEx w15:paraId="640F3968" w15:done="1"/>
  <w15:commentEx w15:paraId="35742FDC" w15:done="1"/>
  <w15:commentEx w15:paraId="0A211330" w15:done="1"/>
  <w15:commentEx w15:paraId="1E8921CB" w15:done="1"/>
  <w15:commentEx w15:paraId="1F667191" w15:done="1"/>
  <w15:commentEx w15:paraId="7ACC590F" w15:done="1"/>
  <w15:commentEx w15:paraId="667520DF" w15:done="1"/>
  <w15:commentEx w15:paraId="75A82133" w15:done="1"/>
  <w15:commentEx w15:paraId="233334AA" w15:done="1"/>
  <w15:commentEx w15:paraId="184A72DB" w15:done="1"/>
  <w15:commentEx w15:paraId="7F48783F" w15:done="1"/>
  <w15:commentEx w15:paraId="69B06E5F" w15:done="1"/>
  <w15:commentEx w15:paraId="4AD15E6F"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兔子">
    <w15:presenceInfo w15:providerId="WPS Office" w15:userId="1483653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MDU0YjAxMDcyZTFmNWUxZjM0MGE3NGY0NDIyNTIifQ=="/>
  </w:docVars>
  <w:rsids>
    <w:rsidRoot w:val="00000000"/>
    <w:rsid w:val="01255120"/>
    <w:rsid w:val="0374238F"/>
    <w:rsid w:val="043735AC"/>
    <w:rsid w:val="07F11E4F"/>
    <w:rsid w:val="0BB1145F"/>
    <w:rsid w:val="0F812F2B"/>
    <w:rsid w:val="11AE21C7"/>
    <w:rsid w:val="13F07C78"/>
    <w:rsid w:val="14CD32B0"/>
    <w:rsid w:val="154A2F50"/>
    <w:rsid w:val="169F7BFC"/>
    <w:rsid w:val="16D90A2F"/>
    <w:rsid w:val="16DE1BA1"/>
    <w:rsid w:val="18D97ACF"/>
    <w:rsid w:val="1A845156"/>
    <w:rsid w:val="1B586AD4"/>
    <w:rsid w:val="1BA84E74"/>
    <w:rsid w:val="1BC33A5C"/>
    <w:rsid w:val="1CC07414"/>
    <w:rsid w:val="1D352737"/>
    <w:rsid w:val="1F0E2273"/>
    <w:rsid w:val="1F7038BB"/>
    <w:rsid w:val="1F777037"/>
    <w:rsid w:val="1FEA1BC2"/>
    <w:rsid w:val="221167D6"/>
    <w:rsid w:val="22CC0F2A"/>
    <w:rsid w:val="234B6811"/>
    <w:rsid w:val="23791F56"/>
    <w:rsid w:val="23F06802"/>
    <w:rsid w:val="265527FC"/>
    <w:rsid w:val="279D1605"/>
    <w:rsid w:val="285A0AEA"/>
    <w:rsid w:val="2B647B3D"/>
    <w:rsid w:val="2B681F8E"/>
    <w:rsid w:val="2B7D59D5"/>
    <w:rsid w:val="2BEC2B5B"/>
    <w:rsid w:val="2E5C3FC8"/>
    <w:rsid w:val="2FC35FA3"/>
    <w:rsid w:val="305701CE"/>
    <w:rsid w:val="30CF1791"/>
    <w:rsid w:val="3344502A"/>
    <w:rsid w:val="33A04957"/>
    <w:rsid w:val="33CA3782"/>
    <w:rsid w:val="347265DB"/>
    <w:rsid w:val="36227D2F"/>
    <w:rsid w:val="36961B95"/>
    <w:rsid w:val="369E00D3"/>
    <w:rsid w:val="37661A13"/>
    <w:rsid w:val="38166DBD"/>
    <w:rsid w:val="3B5335CD"/>
    <w:rsid w:val="3D5440BC"/>
    <w:rsid w:val="3DB75044"/>
    <w:rsid w:val="3E2417A0"/>
    <w:rsid w:val="409D05D4"/>
    <w:rsid w:val="416B2A47"/>
    <w:rsid w:val="41847666"/>
    <w:rsid w:val="41B31CF9"/>
    <w:rsid w:val="41DB2F48"/>
    <w:rsid w:val="42C62075"/>
    <w:rsid w:val="453054C5"/>
    <w:rsid w:val="46212E24"/>
    <w:rsid w:val="46511AE0"/>
    <w:rsid w:val="47C5711C"/>
    <w:rsid w:val="482259B6"/>
    <w:rsid w:val="488937B4"/>
    <w:rsid w:val="489B7043"/>
    <w:rsid w:val="48A44149"/>
    <w:rsid w:val="49423962"/>
    <w:rsid w:val="49575660"/>
    <w:rsid w:val="49DE66BB"/>
    <w:rsid w:val="4A233794"/>
    <w:rsid w:val="4A651F7C"/>
    <w:rsid w:val="4BCF02FF"/>
    <w:rsid w:val="4DBE5CAD"/>
    <w:rsid w:val="4F8B7E11"/>
    <w:rsid w:val="4FCC21D8"/>
    <w:rsid w:val="508C2093"/>
    <w:rsid w:val="510065DD"/>
    <w:rsid w:val="515C7753"/>
    <w:rsid w:val="542E3461"/>
    <w:rsid w:val="55F4140B"/>
    <w:rsid w:val="56682C5A"/>
    <w:rsid w:val="57AA42B0"/>
    <w:rsid w:val="597933D0"/>
    <w:rsid w:val="59A71CEC"/>
    <w:rsid w:val="5A4C2893"/>
    <w:rsid w:val="5D6A092C"/>
    <w:rsid w:val="5E56783C"/>
    <w:rsid w:val="5FB23198"/>
    <w:rsid w:val="604F6C39"/>
    <w:rsid w:val="61182AD9"/>
    <w:rsid w:val="62883E4D"/>
    <w:rsid w:val="62B57844"/>
    <w:rsid w:val="648275DD"/>
    <w:rsid w:val="6839778E"/>
    <w:rsid w:val="68E547F7"/>
    <w:rsid w:val="6994390F"/>
    <w:rsid w:val="6A635FA8"/>
    <w:rsid w:val="6B594E10"/>
    <w:rsid w:val="6D5D7998"/>
    <w:rsid w:val="75305D49"/>
    <w:rsid w:val="760435F6"/>
    <w:rsid w:val="7A1E50DA"/>
    <w:rsid w:val="7A590988"/>
    <w:rsid w:val="7A85338E"/>
    <w:rsid w:val="7D160F4B"/>
    <w:rsid w:val="7D3A2A00"/>
    <w:rsid w:val="7EC860DC"/>
    <w:rsid w:val="7F2C3263"/>
    <w:rsid w:val="7F8C2C66"/>
    <w:rsid w:val="7F9B45E1"/>
    <w:rsid w:val="7F9E2695"/>
    <w:rsid w:val="7FD04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sz w:val="21"/>
      <w:szCs w:val="22"/>
    </w:rPr>
  </w:style>
  <w:style w:type="character" w:default="1" w:styleId="5">
    <w:name w:val="Default Paragraph Fon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oleObject" Target="embeddings/oleObject3.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4174</Words>
  <Characters>5271</Characters>
  <Lines>0</Lines>
  <Paragraphs>0</Paragraphs>
  <TotalTime>2</TotalTime>
  <ScaleCrop>false</ScaleCrop>
  <LinksUpToDate>false</LinksUpToDate>
  <CharactersWithSpaces>5334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2026-01-08T01:07:00Z</dcterms:created>
  <dc:creator>Administrator</dc:creator>
  <cp:lastModifiedBy>阿洁</cp:lastModifiedBy>
  <dcterms:modified xsi:type="dcterms:W3CDTF">2026-04-09T06:33:30Z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7C2F2FBB048F4238B536DFF0E43F440B_13</vt:lpwstr>
  </property>
  <property fmtid="{D5CDD505-2E9C-101B-9397-08002B2CF9AE}" pid="4" name="KSOTemplateDocerSaveRecord">
    <vt:lpwstr>eyJoZGlkIjoiYmUwMTE4YjQyYzk0NGRkODlmYmQzMjlhZjk0ODhkNDgiLCJ1c2VySWQiOiI5NTYwMDkyMTEifQ==</vt:lpwstr>
  </property>
</Properties>
</file>